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4D39A5" w14:textId="5E327AB5" w:rsidR="00F23F29" w:rsidRPr="00996081" w:rsidRDefault="00F23F29" w:rsidP="00996081">
      <w:pPr>
        <w:overflowPunct/>
        <w:autoSpaceDE/>
        <w:autoSpaceDN/>
        <w:adjustRightInd/>
        <w:spacing w:after="0"/>
        <w:jc w:val="both"/>
        <w:textAlignment w:val="auto"/>
        <w:rPr>
          <w:rFonts w:ascii="Arial" w:hAnsi="Arial"/>
          <w:b/>
          <w:sz w:val="24"/>
          <w:lang w:val="en-US" w:eastAsia="zh-CN"/>
        </w:rPr>
      </w:pPr>
      <w:bookmarkStart w:id="0" w:name="_Hlk524960236"/>
      <w:r w:rsidRPr="00996081">
        <w:rPr>
          <w:rFonts w:ascii="Arial" w:hAnsi="Arial"/>
          <w:b/>
          <w:sz w:val="24"/>
          <w:lang w:val="en-US" w:eastAsia="zh-CN"/>
        </w:rPr>
        <w:t>3GPP TSG-RAN WG1 Meeting Ad Hoc 1901</w:t>
      </w:r>
      <w:r w:rsidRPr="00996081">
        <w:rPr>
          <w:rFonts w:ascii="Arial" w:hAnsi="Arial"/>
          <w:b/>
          <w:sz w:val="24"/>
          <w:lang w:val="en-US" w:eastAsia="zh-CN"/>
        </w:rPr>
        <w:tab/>
        <w:t xml:space="preserve"> </w:t>
      </w:r>
      <w:r w:rsidR="00996081">
        <w:rPr>
          <w:rFonts w:ascii="Arial" w:hAnsi="Arial"/>
          <w:b/>
          <w:sz w:val="24"/>
          <w:lang w:val="en-US" w:eastAsia="zh-CN"/>
        </w:rPr>
        <w:tab/>
      </w:r>
      <w:r w:rsidR="00996081">
        <w:rPr>
          <w:rFonts w:ascii="Arial" w:hAnsi="Arial"/>
          <w:b/>
          <w:sz w:val="24"/>
          <w:lang w:val="en-US" w:eastAsia="zh-CN"/>
        </w:rPr>
        <w:tab/>
      </w:r>
      <w:r w:rsidR="00996081">
        <w:rPr>
          <w:rFonts w:ascii="Arial" w:hAnsi="Arial"/>
          <w:b/>
          <w:sz w:val="24"/>
          <w:lang w:val="en-US" w:eastAsia="zh-CN"/>
        </w:rPr>
        <w:tab/>
      </w:r>
      <w:r w:rsidR="00996081">
        <w:rPr>
          <w:rFonts w:ascii="Arial" w:hAnsi="Arial"/>
          <w:b/>
          <w:sz w:val="24"/>
          <w:lang w:val="en-US" w:eastAsia="zh-CN"/>
        </w:rPr>
        <w:tab/>
      </w:r>
      <w:r w:rsidR="00996081">
        <w:rPr>
          <w:rFonts w:ascii="Arial" w:hAnsi="Arial"/>
          <w:b/>
          <w:sz w:val="24"/>
          <w:lang w:val="en-US" w:eastAsia="zh-CN"/>
        </w:rPr>
        <w:tab/>
      </w:r>
      <w:r w:rsidR="00996081" w:rsidRPr="00996081">
        <w:rPr>
          <w:rFonts w:ascii="Arial" w:hAnsi="Arial"/>
          <w:b/>
          <w:sz w:val="24"/>
          <w:lang w:val="en-US" w:eastAsia="zh-CN"/>
        </w:rPr>
        <w:t>R1-1901000</w:t>
      </w:r>
    </w:p>
    <w:p w14:paraId="44A91AA0" w14:textId="77777777" w:rsidR="00F23F29" w:rsidRPr="00F23F29" w:rsidRDefault="00F23F29" w:rsidP="00F23F29">
      <w:pPr>
        <w:pStyle w:val="3GPPHeader"/>
        <w:spacing w:after="0"/>
        <w:rPr>
          <w:szCs w:val="22"/>
          <w:lang w:val="en-US"/>
        </w:rPr>
      </w:pPr>
      <w:r>
        <w:rPr>
          <w:lang w:val="en-US"/>
        </w:rPr>
        <w:t>Taipei, Taiwan, 21</w:t>
      </w:r>
      <w:r>
        <w:rPr>
          <w:vertAlign w:val="superscript"/>
          <w:lang w:val="en-US"/>
        </w:rPr>
        <w:t>st</w:t>
      </w:r>
      <w:r>
        <w:rPr>
          <w:lang w:val="en-US"/>
        </w:rPr>
        <w:t xml:space="preserve"> – 25</w:t>
      </w:r>
      <w:r>
        <w:rPr>
          <w:vertAlign w:val="superscript"/>
          <w:lang w:val="en-US"/>
        </w:rPr>
        <w:t>th</w:t>
      </w:r>
      <w:r>
        <w:rPr>
          <w:lang w:val="en-US"/>
        </w:rPr>
        <w:t xml:space="preserve"> </w:t>
      </w:r>
      <w:proofErr w:type="gramStart"/>
      <w:r>
        <w:rPr>
          <w:lang w:val="en-US"/>
        </w:rPr>
        <w:t>January,</w:t>
      </w:r>
      <w:proofErr w:type="gramEnd"/>
      <w:r>
        <w:rPr>
          <w:lang w:val="en-US"/>
        </w:rPr>
        <w:t xml:space="preserve"> 2019</w:t>
      </w:r>
      <w:bookmarkEnd w:id="0"/>
    </w:p>
    <w:p w14:paraId="54B9A8A9" w14:textId="77777777" w:rsidR="002D43A9" w:rsidRPr="00F23F29" w:rsidRDefault="002D43A9" w:rsidP="002D43A9">
      <w:pPr>
        <w:pStyle w:val="3GPPHeader"/>
        <w:rPr>
          <w:lang w:val="en-US"/>
        </w:rPr>
      </w:pPr>
    </w:p>
    <w:p w14:paraId="718839F4" w14:textId="1543A443" w:rsidR="002D43A9" w:rsidRPr="00996081" w:rsidRDefault="002D43A9" w:rsidP="002D43A9">
      <w:pPr>
        <w:pStyle w:val="3GPPHeader"/>
        <w:rPr>
          <w:sz w:val="22"/>
          <w:szCs w:val="22"/>
          <w:lang w:val="en-US"/>
        </w:rPr>
      </w:pPr>
      <w:r w:rsidRPr="00996081">
        <w:rPr>
          <w:sz w:val="22"/>
          <w:szCs w:val="22"/>
          <w:lang w:val="en-US"/>
        </w:rPr>
        <w:t>Agenda Item:</w:t>
      </w:r>
      <w:r w:rsidRPr="00996081">
        <w:rPr>
          <w:sz w:val="22"/>
          <w:szCs w:val="22"/>
          <w:lang w:val="en-US"/>
        </w:rPr>
        <w:tab/>
      </w:r>
      <w:r w:rsidR="004A64E5" w:rsidRPr="00996081">
        <w:rPr>
          <w:sz w:val="22"/>
          <w:szCs w:val="22"/>
          <w:lang w:val="en-US"/>
        </w:rPr>
        <w:t>7.2.2.</w:t>
      </w:r>
      <w:r w:rsidR="00F23F29" w:rsidRPr="00996081">
        <w:rPr>
          <w:sz w:val="22"/>
          <w:szCs w:val="22"/>
          <w:lang w:val="en-US"/>
        </w:rPr>
        <w:t>2</w:t>
      </w:r>
      <w:r w:rsidR="004A64E5" w:rsidRPr="00996081">
        <w:rPr>
          <w:sz w:val="22"/>
          <w:szCs w:val="22"/>
          <w:lang w:val="en-US"/>
        </w:rPr>
        <w:t>.3</w:t>
      </w:r>
    </w:p>
    <w:p w14:paraId="12242853" w14:textId="77777777" w:rsidR="002D43A9" w:rsidRPr="004D1DC2" w:rsidRDefault="002D43A9" w:rsidP="002D43A9">
      <w:pPr>
        <w:pStyle w:val="3GPPHeader"/>
        <w:rPr>
          <w:sz w:val="22"/>
          <w:szCs w:val="22"/>
        </w:rPr>
      </w:pPr>
      <w:r w:rsidRPr="00996081">
        <w:rPr>
          <w:sz w:val="22"/>
          <w:szCs w:val="22"/>
        </w:rPr>
        <w:t>Source:</w:t>
      </w:r>
      <w:r w:rsidRPr="00996081">
        <w:rPr>
          <w:sz w:val="22"/>
          <w:szCs w:val="22"/>
        </w:rPr>
        <w:tab/>
        <w:t>Ericsson</w:t>
      </w:r>
    </w:p>
    <w:p w14:paraId="2467EAC2" w14:textId="7C09B851" w:rsidR="00E90E49" w:rsidRPr="004D1DC2" w:rsidRDefault="003D3C45" w:rsidP="00C30876">
      <w:pPr>
        <w:pStyle w:val="3GPPHeader"/>
        <w:rPr>
          <w:sz w:val="22"/>
          <w:szCs w:val="22"/>
        </w:rPr>
      </w:pPr>
      <w:r w:rsidRPr="004D1DC2">
        <w:rPr>
          <w:sz w:val="22"/>
          <w:szCs w:val="22"/>
        </w:rPr>
        <w:t>Title:</w:t>
      </w:r>
      <w:r w:rsidR="00E90E49" w:rsidRPr="004D1DC2">
        <w:rPr>
          <w:sz w:val="22"/>
          <w:szCs w:val="22"/>
        </w:rPr>
        <w:tab/>
      </w:r>
      <w:r w:rsidR="00C30876" w:rsidRPr="004D1DC2">
        <w:rPr>
          <w:sz w:val="22"/>
          <w:szCs w:val="22"/>
        </w:rPr>
        <w:t>Potential HARQ enhancements for NR-U</w:t>
      </w:r>
    </w:p>
    <w:p w14:paraId="15109279" w14:textId="425A7C02" w:rsidR="00E90E49" w:rsidRPr="00CE0424" w:rsidRDefault="00E90E49" w:rsidP="00DF6BA7">
      <w:pPr>
        <w:pStyle w:val="3GPPHeader"/>
      </w:pPr>
      <w:r w:rsidRPr="004D1DC2">
        <w:rPr>
          <w:sz w:val="22"/>
          <w:szCs w:val="22"/>
        </w:rPr>
        <w:t>Document for:</w:t>
      </w:r>
      <w:r w:rsidRPr="004D1DC2">
        <w:rPr>
          <w:sz w:val="22"/>
          <w:szCs w:val="22"/>
        </w:rPr>
        <w:tab/>
        <w:t>Discussion, Decision</w:t>
      </w:r>
    </w:p>
    <w:p w14:paraId="1FE6339F" w14:textId="77777777" w:rsidR="00F7529C" w:rsidRDefault="00E90E49" w:rsidP="001A7386">
      <w:pPr>
        <w:pStyle w:val="Heading1"/>
        <w:numPr>
          <w:ilvl w:val="0"/>
          <w:numId w:val="14"/>
        </w:numPr>
      </w:pPr>
      <w:r w:rsidRPr="00CE0424">
        <w:t>Introduction</w:t>
      </w:r>
    </w:p>
    <w:p w14:paraId="601D1B99" w14:textId="24543ACF" w:rsidR="002C198E" w:rsidRPr="004150C4" w:rsidRDefault="002C198E" w:rsidP="004150C4">
      <w:pPr>
        <w:pStyle w:val="BodyText"/>
      </w:pPr>
      <w:r w:rsidRPr="004150C4">
        <w:t>In this contribution, we provide our view on possible HARQ related issues that should be address when designing HARQ enhancements for NR-U operation</w:t>
      </w:r>
      <w:r w:rsidR="004C5484" w:rsidRPr="004150C4">
        <w:t xml:space="preserve"> </w:t>
      </w:r>
      <w:r w:rsidR="002950C5" w:rsidRPr="004150C4">
        <w:t>and</w:t>
      </w:r>
      <w:r w:rsidR="004C5484" w:rsidRPr="004150C4">
        <w:t xml:space="preserve"> on multi-TTI scheduling. </w:t>
      </w:r>
    </w:p>
    <w:p w14:paraId="0C7E81CC" w14:textId="540B1CA6" w:rsidR="004000E8" w:rsidRDefault="00230D18" w:rsidP="00CE0424">
      <w:pPr>
        <w:pStyle w:val="Heading1"/>
      </w:pPr>
      <w:bookmarkStart w:id="1" w:name="_Ref178064866"/>
      <w:r>
        <w:t>2</w:t>
      </w:r>
      <w:r>
        <w:tab/>
      </w:r>
      <w:r w:rsidR="004000E8" w:rsidRPr="00CE0424">
        <w:t>Discussion</w:t>
      </w:r>
      <w:bookmarkEnd w:id="1"/>
    </w:p>
    <w:p w14:paraId="2CC59B3F" w14:textId="30E181FE" w:rsidR="00655DFD" w:rsidRDefault="004150C4" w:rsidP="00803AAF">
      <w:pPr>
        <w:pStyle w:val="Heading2"/>
      </w:pPr>
      <w:r>
        <w:t>2.1</w:t>
      </w:r>
      <w:r>
        <w:tab/>
      </w:r>
      <w:r w:rsidR="00FB212E">
        <w:t>Self-contained COT</w:t>
      </w:r>
    </w:p>
    <w:p w14:paraId="3DDF7D17" w14:textId="68786950" w:rsidR="00A132A0" w:rsidRDefault="00C95E61" w:rsidP="00E641FD">
      <w:pPr>
        <w:pStyle w:val="BodyText"/>
        <w:rPr>
          <w:lang w:val="en-150"/>
        </w:rPr>
      </w:pPr>
      <w:r>
        <w:t>It</w:t>
      </w:r>
      <w:r w:rsidR="005867DE">
        <w:t xml:space="preserve"> highly beneficial to maximize the chances that the feedback of all the transmissions within a certain transmit opportunity</w:t>
      </w:r>
      <w:r w:rsidR="00EC3D8F">
        <w:t xml:space="preserve"> is</w:t>
      </w:r>
      <w:r w:rsidR="005867DE">
        <w:t xml:space="preserve"> self-contained within the same channel occupancy</w:t>
      </w:r>
      <w:r w:rsidR="00EC3D8F">
        <w:t xml:space="preserve">, of course while still fulfilling </w:t>
      </w:r>
      <w:r w:rsidR="005867DE">
        <w:t>regulatory</w:t>
      </w:r>
      <w:r w:rsidR="003D2D90">
        <w:t xml:space="preserve"> requirements</w:t>
      </w:r>
      <w:r w:rsidR="005867DE">
        <w:t xml:space="preserve">. </w:t>
      </w:r>
      <w:r w:rsidR="00970CD7">
        <w:t xml:space="preserve">Lack of feedback, or delayed feedback significantly impact the overall performance in terms of UE’s throughput </w:t>
      </w:r>
      <w:proofErr w:type="gramStart"/>
      <w:r w:rsidR="00970CD7">
        <w:t>and also</w:t>
      </w:r>
      <w:proofErr w:type="gramEnd"/>
      <w:r w:rsidR="00970CD7">
        <w:t xml:space="preserve"> in terms of inefficient us</w:t>
      </w:r>
      <w:r w:rsidR="00EC3D8F">
        <w:t>e</w:t>
      </w:r>
      <w:r w:rsidR="00970CD7">
        <w:t xml:space="preserve"> of the channel if </w:t>
      </w:r>
      <w:r w:rsidR="00B654B1">
        <w:t xml:space="preserve">the </w:t>
      </w:r>
      <w:r w:rsidR="008E37F7">
        <w:t>delayed feedback</w:t>
      </w:r>
      <w:r w:rsidR="00B654B1">
        <w:t xml:space="preserve"> </w:t>
      </w:r>
      <w:r w:rsidR="00970CD7">
        <w:t xml:space="preserve">trigger unnecessary retransmissions. </w:t>
      </w:r>
      <w:r w:rsidR="00FF768A">
        <w:t>E</w:t>
      </w:r>
      <w:r w:rsidR="004964B5">
        <w:t xml:space="preserve">ven if multiple switching points within a COT is supported for NR-U, there will </w:t>
      </w:r>
      <w:r w:rsidR="00FF768A">
        <w:t>still be</w:t>
      </w:r>
      <w:r w:rsidR="004964B5">
        <w:t xml:space="preserve"> case</w:t>
      </w:r>
      <w:r w:rsidR="00B93A2C">
        <w:t>s</w:t>
      </w:r>
      <w:r w:rsidR="004964B5">
        <w:t xml:space="preserve"> </w:t>
      </w:r>
      <w:r w:rsidR="00B93A2C">
        <w:t>where the</w:t>
      </w:r>
      <w:r w:rsidR="004964B5">
        <w:t xml:space="preserve"> PDSCH(s) transmission </w:t>
      </w:r>
      <w:r w:rsidR="00B93A2C">
        <w:t xml:space="preserve">immediately before the last scheduled PUCCH cannot </w:t>
      </w:r>
      <w:r w:rsidR="00B93A2C" w:rsidRPr="00DF39B9">
        <w:t xml:space="preserve">be included unless </w:t>
      </w:r>
      <w:r w:rsidR="00C725D8">
        <w:t xml:space="preserve">there is enough time to process the PDSCH transmission before the feedback transmission. The </w:t>
      </w:r>
      <w:proofErr w:type="spellStart"/>
      <w:r w:rsidR="00C725D8">
        <w:t>gNB</w:t>
      </w:r>
      <w:proofErr w:type="spellEnd"/>
      <w:r w:rsidR="00C725D8">
        <w:t xml:space="preserve"> can accommodate for the PDSCH processing delay by scheduling signals </w:t>
      </w:r>
      <w:bookmarkStart w:id="2" w:name="_Toc520912652"/>
      <w:r w:rsidR="00C725D8">
        <w:t>that do not require HARQ feedback from the UE</w:t>
      </w:r>
      <w:r w:rsidR="00E641FD">
        <w:t xml:space="preserve"> between the </w:t>
      </w:r>
      <w:r>
        <w:t xml:space="preserve">last </w:t>
      </w:r>
      <w:r w:rsidR="00E641FD">
        <w:t>PDSCH reception and the scheduled feedback within the same COT</w:t>
      </w:r>
      <w:r w:rsidR="00C725D8">
        <w:t>. Such signals</w:t>
      </w:r>
      <w:r>
        <w:t>/channels</w:t>
      </w:r>
      <w:r w:rsidR="00C725D8">
        <w:t xml:space="preserve"> include PUSCH, SRS,</w:t>
      </w:r>
      <w:r w:rsidR="00C725D8" w:rsidRPr="00C725D8">
        <w:t xml:space="preserve"> </w:t>
      </w:r>
      <w:r>
        <w:t xml:space="preserve">DMRS </w:t>
      </w:r>
      <w:r w:rsidR="00C725D8">
        <w:t>system information or other broadcast information, etc</w:t>
      </w:r>
      <w:r w:rsidR="00E641FD">
        <w:t>.</w:t>
      </w:r>
      <w:r>
        <w:t xml:space="preserve"> </w:t>
      </w:r>
      <w:r w:rsidR="00A132A0">
        <w:rPr>
          <w:lang w:val="en-150"/>
        </w:rPr>
        <w:t>This is inline with the agreement liste</w:t>
      </w:r>
      <w:r w:rsidR="00635B57">
        <w:rPr>
          <w:lang w:val="en-150"/>
        </w:rPr>
        <w:t>d</w:t>
      </w:r>
      <w:r w:rsidR="00A132A0">
        <w:rPr>
          <w:lang w:val="en-150"/>
        </w:rPr>
        <w:t xml:space="preserve"> in the TR</w:t>
      </w:r>
      <w:r w:rsidR="00DF6BA7">
        <w:rPr>
          <w:lang w:val="en-150"/>
        </w:rPr>
        <w:t xml:space="preserve"> [1]</w:t>
      </w:r>
      <w:r w:rsidR="00A132A0">
        <w:rPr>
          <w:lang w:val="en-150"/>
        </w:rPr>
        <w:t xml:space="preserve">: </w:t>
      </w:r>
    </w:p>
    <w:p w14:paraId="1C0BECA5" w14:textId="3AE35FB8" w:rsidR="00A132A0" w:rsidRPr="00DF6BA7" w:rsidRDefault="00A132A0" w:rsidP="00DF6BA7">
      <w:pPr>
        <w:ind w:left="567"/>
        <w:rPr>
          <w:i/>
          <w:lang w:val="en-US" w:eastAsia="x-none"/>
        </w:rPr>
      </w:pPr>
      <w:r w:rsidRPr="00173DF9">
        <w:rPr>
          <w:i/>
          <w:lang w:val="en-US" w:eastAsia="x-none"/>
        </w:rPr>
        <w:t>It is beneficial to be able to support transmissions (e.g. CSI reporting or SRS, or other PUSCH, or CSI-RS, or other PDSCH) in the time between one DL data transmission for a UE and the corresponding UL transmission of DL HARQ feedback for the same UE within a shared COT. Potential enhancements for such type of operation, e.g. by possibly pre-configured or pre-determined uplink transmissions for reducing signaling overhead for these transmissions, may be beneficial.</w:t>
      </w:r>
    </w:p>
    <w:p w14:paraId="43D322E7" w14:textId="58B9F145" w:rsidR="00E641FD" w:rsidRDefault="00C95E61" w:rsidP="00E641FD">
      <w:pPr>
        <w:pStyle w:val="BodyText"/>
        <w:rPr>
          <w:lang w:val="en-150"/>
        </w:rPr>
      </w:pPr>
      <w:r>
        <w:t>Some changes might be needed to allow transmissions of those signal dynamically. However, the exact changes depend on the supported format, length, and location of the NR-U control signals/channels.</w:t>
      </w:r>
      <w:r w:rsidR="00635B57">
        <w:rPr>
          <w:lang w:val="en-150"/>
        </w:rPr>
        <w:t xml:space="preserve"> Therefore, RAN1 should take this discussion only afterwards. </w:t>
      </w:r>
    </w:p>
    <w:p w14:paraId="7069C2EC" w14:textId="1A3C820E" w:rsidR="00635B57" w:rsidRPr="00DF6BA7" w:rsidRDefault="00635B57" w:rsidP="00DF6BA7">
      <w:pPr>
        <w:pStyle w:val="Proposal"/>
        <w:rPr>
          <w:lang w:val="en-150"/>
        </w:rPr>
      </w:pPr>
      <w:bookmarkStart w:id="3" w:name="_Toc535015250"/>
      <w:r>
        <w:rPr>
          <w:lang w:val="en-150"/>
        </w:rPr>
        <w:t xml:space="preserve">RAN1 to decide on the signals/channels that can be sent </w:t>
      </w:r>
      <w:r>
        <w:rPr>
          <w:lang w:val="en-US"/>
        </w:rPr>
        <w:t xml:space="preserve">between </w:t>
      </w:r>
      <w:r>
        <w:rPr>
          <w:lang w:val="en-150"/>
        </w:rPr>
        <w:t>last</w:t>
      </w:r>
      <w:r>
        <w:rPr>
          <w:lang w:val="en-US"/>
        </w:rPr>
        <w:t xml:space="preserve"> DL</w:t>
      </w:r>
      <w:r w:rsidRPr="00173DF9">
        <w:rPr>
          <w:lang w:val="en-US"/>
        </w:rPr>
        <w:t xml:space="preserve"> transmission</w:t>
      </w:r>
      <w:r>
        <w:rPr>
          <w:lang w:val="en-150"/>
        </w:rPr>
        <w:t xml:space="preserve"> that require feedback </w:t>
      </w:r>
      <w:r w:rsidRPr="00173DF9">
        <w:rPr>
          <w:lang w:val="en-US"/>
        </w:rPr>
        <w:t>and the corresponding UL transmission of DL HARQ feedback for the same UE within a shared COT</w:t>
      </w:r>
      <w:r>
        <w:rPr>
          <w:lang w:val="en-150"/>
        </w:rPr>
        <w:t xml:space="preserve"> after the NR-U control signals/channels design is done.</w:t>
      </w:r>
      <w:bookmarkEnd w:id="3"/>
      <w:r>
        <w:rPr>
          <w:lang w:val="en-150"/>
        </w:rPr>
        <w:t xml:space="preserve"> </w:t>
      </w:r>
    </w:p>
    <w:bookmarkEnd w:id="2"/>
    <w:p w14:paraId="3BEA98A9" w14:textId="33344235" w:rsidR="006D7B1E" w:rsidRPr="00760BD0" w:rsidRDefault="00B654B1" w:rsidP="00C33D2A">
      <w:pPr>
        <w:pStyle w:val="Heading2"/>
      </w:pPr>
      <w:r>
        <w:t>2.</w:t>
      </w:r>
      <w:r w:rsidR="00BE135D">
        <w:t>2</w:t>
      </w:r>
      <w:r w:rsidR="004431C8">
        <w:tab/>
      </w:r>
      <w:r>
        <w:t xml:space="preserve"> </w:t>
      </w:r>
      <w:r w:rsidR="00D05A02">
        <w:t xml:space="preserve">Enhanced </w:t>
      </w:r>
      <w:r>
        <w:t>Dynamic HARQ codebook</w:t>
      </w:r>
    </w:p>
    <w:p w14:paraId="08FDF6EA" w14:textId="3DD2F87C" w:rsidR="004836F6" w:rsidRPr="00DF6BA7" w:rsidRDefault="00635B57" w:rsidP="00DF6BA7">
      <w:pPr>
        <w:pStyle w:val="BodyText"/>
        <w:rPr>
          <w:lang w:val="en-150"/>
        </w:rPr>
      </w:pPr>
      <w:r w:rsidRPr="00DF6BA7">
        <w:t xml:space="preserve">The TR includes a list of alternatives to support cross-HRQ-ACK feedback and multiple opportunities for HARQ-ACK feedback. The five alternatives are included in </w:t>
      </w:r>
      <w:r w:rsidR="00DF6BA7">
        <w:rPr>
          <w:lang w:val="en-150"/>
        </w:rPr>
        <w:t>the table below</w:t>
      </w:r>
      <w:r>
        <w:rPr>
          <w:lang w:val="en-150"/>
        </w:rPr>
        <w:t>.</w:t>
      </w:r>
    </w:p>
    <w:p w14:paraId="2C9E0950" w14:textId="77777777" w:rsidR="004836F6" w:rsidRPr="004836F6" w:rsidRDefault="004836F6" w:rsidP="00DF6BA7">
      <w:pPr>
        <w:pStyle w:val="ListParagraph"/>
        <w:rPr>
          <w:rFonts w:ascii="Times" w:eastAsia="Batang" w:hAnsi="Times"/>
          <w:szCs w:val="24"/>
          <w:lang w:eastAsia="x-none"/>
        </w:rPr>
      </w:pPr>
    </w:p>
    <w:tbl>
      <w:tblPr>
        <w:tblW w:w="0" w:type="auto"/>
        <w:jc w:val="cente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20" w:firstRow="1" w:lastRow="0" w:firstColumn="0" w:lastColumn="0" w:noHBand="0" w:noVBand="1"/>
      </w:tblPr>
      <w:tblGrid>
        <w:gridCol w:w="3069"/>
        <w:gridCol w:w="3070"/>
        <w:gridCol w:w="3070"/>
      </w:tblGrid>
      <w:tr w:rsidR="004836F6" w:rsidRPr="00832B28" w14:paraId="5C223FDE" w14:textId="77777777" w:rsidTr="00DF6BA7">
        <w:trPr>
          <w:jc w:val="center"/>
        </w:trPr>
        <w:tc>
          <w:tcPr>
            <w:tcW w:w="3069" w:type="dxa"/>
            <w:tcBorders>
              <w:top w:val="single" w:sz="4" w:space="0" w:color="8EAADB"/>
              <w:left w:val="single" w:sz="4" w:space="0" w:color="8EAADB"/>
              <w:bottom w:val="single" w:sz="12" w:space="0" w:color="8EAADB"/>
              <w:right w:val="single" w:sz="4" w:space="0" w:color="8EAADB"/>
            </w:tcBorders>
          </w:tcPr>
          <w:p w14:paraId="45D80A71" w14:textId="77777777" w:rsidR="004836F6" w:rsidRPr="00832B28" w:rsidRDefault="004836F6" w:rsidP="00173DF9">
            <w:pPr>
              <w:spacing w:after="0"/>
              <w:rPr>
                <w:rFonts w:ascii="Times" w:eastAsia="Batang" w:hAnsi="Times"/>
                <w:b/>
                <w:bCs/>
                <w:color w:val="2F5496"/>
                <w:szCs w:val="24"/>
                <w:lang w:eastAsia="x-none"/>
              </w:rPr>
            </w:pPr>
          </w:p>
        </w:tc>
        <w:tc>
          <w:tcPr>
            <w:tcW w:w="3070" w:type="dxa"/>
            <w:tcBorders>
              <w:top w:val="single" w:sz="4" w:space="0" w:color="8EAADB"/>
              <w:left w:val="single" w:sz="4" w:space="0" w:color="8EAADB"/>
              <w:bottom w:val="single" w:sz="12" w:space="0" w:color="8EAADB"/>
              <w:right w:val="single" w:sz="4" w:space="0" w:color="8EAADB"/>
            </w:tcBorders>
            <w:hideMark/>
          </w:tcPr>
          <w:p w14:paraId="0C157CBA" w14:textId="77777777" w:rsidR="004836F6" w:rsidRPr="00832B28" w:rsidRDefault="004836F6" w:rsidP="00173DF9">
            <w:pPr>
              <w:spacing w:after="0"/>
              <w:rPr>
                <w:rFonts w:ascii="Times" w:eastAsia="Batang" w:hAnsi="Times"/>
                <w:b/>
                <w:bCs/>
                <w:color w:val="2F5496"/>
                <w:szCs w:val="24"/>
                <w:lang w:eastAsia="x-none"/>
              </w:rPr>
            </w:pPr>
            <w:r w:rsidRPr="00832B28">
              <w:rPr>
                <w:rFonts w:ascii="Times" w:eastAsia="Batang" w:hAnsi="Times"/>
                <w:b/>
                <w:bCs/>
                <w:color w:val="2F5496"/>
                <w:szCs w:val="24"/>
                <w:lang w:eastAsia="x-none"/>
              </w:rPr>
              <w:t>Cross-COT HARQ-ACK feedback</w:t>
            </w:r>
          </w:p>
        </w:tc>
        <w:tc>
          <w:tcPr>
            <w:tcW w:w="3070" w:type="dxa"/>
            <w:tcBorders>
              <w:top w:val="single" w:sz="4" w:space="0" w:color="8EAADB"/>
              <w:left w:val="single" w:sz="4" w:space="0" w:color="8EAADB"/>
              <w:bottom w:val="single" w:sz="12" w:space="0" w:color="8EAADB"/>
              <w:right w:val="single" w:sz="4" w:space="0" w:color="8EAADB"/>
            </w:tcBorders>
            <w:hideMark/>
          </w:tcPr>
          <w:p w14:paraId="2F5E9FB9" w14:textId="77777777" w:rsidR="004836F6" w:rsidRPr="00832B28" w:rsidRDefault="004836F6" w:rsidP="00173DF9">
            <w:pPr>
              <w:spacing w:after="0"/>
              <w:rPr>
                <w:rFonts w:ascii="Times" w:eastAsia="Batang" w:hAnsi="Times"/>
                <w:b/>
                <w:bCs/>
                <w:color w:val="2F5496"/>
                <w:szCs w:val="24"/>
                <w:lang w:eastAsia="x-none"/>
              </w:rPr>
            </w:pPr>
            <w:r w:rsidRPr="00832B28">
              <w:rPr>
                <w:rFonts w:ascii="Times" w:eastAsia="Batang" w:hAnsi="Times"/>
                <w:b/>
                <w:bCs/>
                <w:color w:val="2F5496"/>
                <w:szCs w:val="24"/>
                <w:lang w:eastAsia="x-none"/>
              </w:rPr>
              <w:t>Multiple opportunities for HARQ-ACK feedback</w:t>
            </w:r>
          </w:p>
        </w:tc>
      </w:tr>
      <w:tr w:rsidR="004836F6" w:rsidRPr="00832B28" w14:paraId="324111CF" w14:textId="77777777" w:rsidTr="00DF6BA7">
        <w:trPr>
          <w:trHeight w:val="1575"/>
          <w:jc w:val="center"/>
        </w:trPr>
        <w:tc>
          <w:tcPr>
            <w:tcW w:w="3069" w:type="dxa"/>
            <w:tcBorders>
              <w:top w:val="single" w:sz="4" w:space="0" w:color="8EAADB"/>
              <w:left w:val="single" w:sz="4" w:space="0" w:color="8EAADB"/>
              <w:bottom w:val="single" w:sz="4" w:space="0" w:color="8EAADB"/>
              <w:right w:val="single" w:sz="4" w:space="0" w:color="8EAADB"/>
            </w:tcBorders>
            <w:shd w:val="clear" w:color="auto" w:fill="D9E2F3"/>
            <w:hideMark/>
          </w:tcPr>
          <w:p w14:paraId="28F90250"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
                <w:color w:val="2F5496"/>
                <w:szCs w:val="24"/>
                <w:lang w:eastAsia="x-none"/>
              </w:rPr>
              <w:lastRenderedPageBreak/>
              <w:t>Alt1</w:t>
            </w:r>
            <w:r w:rsidRPr="00832B28">
              <w:rPr>
                <w:rFonts w:ascii="Times" w:eastAsia="Batang" w:hAnsi="Times"/>
                <w:color w:val="2F5496"/>
                <w:szCs w:val="24"/>
                <w:lang w:eastAsia="x-none"/>
              </w:rPr>
              <w:t xml:space="preserve">: </w:t>
            </w:r>
            <w:proofErr w:type="spellStart"/>
            <w:r w:rsidRPr="00832B28">
              <w:rPr>
                <w:rFonts w:ascii="Times" w:eastAsia="Batang" w:hAnsi="Times"/>
                <w:color w:val="2F5496"/>
                <w:szCs w:val="24"/>
                <w:lang w:eastAsia="x-none"/>
              </w:rPr>
              <w:t>gNB</w:t>
            </w:r>
            <w:proofErr w:type="spellEnd"/>
            <w:r w:rsidRPr="00832B28">
              <w:rPr>
                <w:rFonts w:ascii="Times" w:eastAsia="Batang" w:hAnsi="Times"/>
                <w:color w:val="2F5496"/>
                <w:szCs w:val="24"/>
                <w:lang w:eastAsia="x-none"/>
              </w:rPr>
              <w:t xml:space="preserve"> requests/triggers feedback for PDSCH from earlier COT(s) or additional reporting of earlier HARQ feedback, where </w:t>
            </w:r>
            <w:r w:rsidRPr="00832B28">
              <w:rPr>
                <w:rFonts w:ascii="Times" w:eastAsia="Batang" w:hAnsi="Times"/>
                <w:bCs/>
                <w:color w:val="2F5496"/>
                <w:szCs w:val="24"/>
                <w:lang w:eastAsia="x-none"/>
              </w:rPr>
              <w:t>the exact HARQ feedback timing and resource is provided to the UE in another DCI (in the same or in another COT)</w:t>
            </w:r>
          </w:p>
        </w:tc>
        <w:tc>
          <w:tcPr>
            <w:tcW w:w="6140" w:type="dxa"/>
            <w:gridSpan w:val="2"/>
            <w:tcBorders>
              <w:top w:val="single" w:sz="4" w:space="0" w:color="8EAADB"/>
              <w:left w:val="single" w:sz="4" w:space="0" w:color="8EAADB"/>
              <w:bottom w:val="single" w:sz="4" w:space="0" w:color="8EAADB"/>
              <w:right w:val="single" w:sz="4" w:space="0" w:color="8EAADB"/>
            </w:tcBorders>
            <w:shd w:val="clear" w:color="auto" w:fill="D9E2F3"/>
          </w:tcPr>
          <w:p w14:paraId="73DA88A8"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
                <w:color w:val="2F5496"/>
                <w:szCs w:val="24"/>
                <w:lang w:eastAsia="x-none"/>
              </w:rPr>
              <w:t>Alt1a</w:t>
            </w:r>
            <w:r w:rsidRPr="00832B28">
              <w:rPr>
                <w:rFonts w:ascii="Times" w:eastAsia="Batang" w:hAnsi="Times"/>
                <w:color w:val="2F5496"/>
                <w:szCs w:val="24"/>
                <w:lang w:eastAsia="x-none"/>
              </w:rPr>
              <w:t xml:space="preserve">: request/trigger reporting of HARQ feedback for earlier COT(s) or additional reporting of earlier HARQ feedback without explicit </w:t>
            </w:r>
            <w:proofErr w:type="spellStart"/>
            <w:r w:rsidRPr="00832B28">
              <w:rPr>
                <w:rFonts w:ascii="Times" w:eastAsia="Batang" w:hAnsi="Times"/>
                <w:color w:val="2F5496"/>
                <w:szCs w:val="24"/>
                <w:lang w:eastAsia="x-none"/>
              </w:rPr>
              <w:t>signaling</w:t>
            </w:r>
            <w:proofErr w:type="spellEnd"/>
            <w:r w:rsidRPr="00832B28">
              <w:rPr>
                <w:rFonts w:ascii="Times" w:eastAsia="Batang" w:hAnsi="Times"/>
                <w:color w:val="2F5496"/>
                <w:szCs w:val="24"/>
                <w:lang w:eastAsia="x-none"/>
              </w:rPr>
              <w:t xml:space="preserve"> of HARQ process ID, possibly along with other HARQ feedback reports (e.g. for the current COT)</w:t>
            </w:r>
          </w:p>
          <w:p w14:paraId="21B98DD1" w14:textId="77777777" w:rsidR="004836F6" w:rsidRPr="00832B28" w:rsidRDefault="004836F6" w:rsidP="00173DF9">
            <w:pPr>
              <w:spacing w:after="0"/>
              <w:rPr>
                <w:rFonts w:ascii="Times" w:eastAsia="Batang" w:hAnsi="Times"/>
                <w:color w:val="2F5496"/>
                <w:szCs w:val="24"/>
                <w:lang w:eastAsia="x-none"/>
              </w:rPr>
            </w:pPr>
          </w:p>
          <w:p w14:paraId="66825D45"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
                <w:color w:val="2F5496"/>
                <w:szCs w:val="24"/>
                <w:lang w:eastAsia="x-none"/>
              </w:rPr>
              <w:t>Alt1b</w:t>
            </w:r>
            <w:r w:rsidRPr="00832B28">
              <w:rPr>
                <w:rFonts w:ascii="Times" w:eastAsia="Batang" w:hAnsi="Times"/>
                <w:color w:val="2F5496"/>
                <w:szCs w:val="24"/>
                <w:lang w:eastAsia="x-none"/>
              </w:rPr>
              <w:t>: request/trigger reporting for a set of HARQ processes, either for all configured HARQ processes (e.g. group feedback), or for a set of HARQ process IDs or HARQ process ID groups</w:t>
            </w:r>
          </w:p>
        </w:tc>
      </w:tr>
      <w:tr w:rsidR="004836F6" w:rsidRPr="00832B28" w14:paraId="0AFF4DD1" w14:textId="77777777" w:rsidTr="00DF6BA7">
        <w:trPr>
          <w:trHeight w:val="984"/>
          <w:jc w:val="center"/>
        </w:trPr>
        <w:tc>
          <w:tcPr>
            <w:tcW w:w="3069" w:type="dxa"/>
            <w:tcBorders>
              <w:top w:val="single" w:sz="4" w:space="0" w:color="8EAADB"/>
              <w:left w:val="single" w:sz="4" w:space="0" w:color="8EAADB"/>
              <w:bottom w:val="single" w:sz="4" w:space="0" w:color="8EAADB"/>
              <w:right w:val="single" w:sz="4" w:space="0" w:color="8EAADB"/>
            </w:tcBorders>
            <w:hideMark/>
          </w:tcPr>
          <w:p w14:paraId="055501B4"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
                <w:color w:val="2F5496"/>
                <w:szCs w:val="24"/>
                <w:lang w:eastAsia="x-none"/>
              </w:rPr>
              <w:t>Alt2</w:t>
            </w:r>
            <w:r w:rsidRPr="00832B28">
              <w:rPr>
                <w:rFonts w:ascii="Times" w:eastAsia="Batang" w:hAnsi="Times"/>
                <w:color w:val="2F5496"/>
                <w:szCs w:val="24"/>
                <w:lang w:eastAsia="x-none"/>
              </w:rPr>
              <w:t xml:space="preserve">: UE is configured/allowed to report HARQ feedback for PDSCH from earlier COT(s) without an explicit request/trigger </w:t>
            </w:r>
          </w:p>
        </w:tc>
        <w:tc>
          <w:tcPr>
            <w:tcW w:w="6140" w:type="dxa"/>
            <w:gridSpan w:val="2"/>
            <w:tcBorders>
              <w:top w:val="single" w:sz="4" w:space="0" w:color="8EAADB"/>
              <w:left w:val="single" w:sz="4" w:space="0" w:color="8EAADB"/>
              <w:bottom w:val="single" w:sz="4" w:space="0" w:color="8EAADB"/>
              <w:right w:val="single" w:sz="4" w:space="0" w:color="8EAADB"/>
            </w:tcBorders>
            <w:hideMark/>
          </w:tcPr>
          <w:p w14:paraId="292EFF27" w14:textId="77777777" w:rsidR="004836F6" w:rsidRPr="00832B28" w:rsidRDefault="004836F6" w:rsidP="00173DF9">
            <w:pPr>
              <w:spacing w:after="0"/>
              <w:rPr>
                <w:rFonts w:ascii="Times" w:eastAsia="Batang" w:hAnsi="Times"/>
                <w:bCs/>
                <w:color w:val="2F5496"/>
                <w:szCs w:val="24"/>
                <w:lang w:eastAsia="x-none"/>
              </w:rPr>
            </w:pPr>
            <w:r w:rsidRPr="00832B28">
              <w:rPr>
                <w:rFonts w:ascii="Times" w:eastAsia="Batang" w:hAnsi="Times"/>
                <w:bCs/>
                <w:color w:val="2F5496"/>
                <w:szCs w:val="24"/>
                <w:lang w:eastAsia="x-none"/>
              </w:rPr>
              <w:t>UE autonomously reports UCI with additional information about HARQ processes - e.g. corresponding to PDSCH from earlier COT(s) - that are reported in PUSCH [or PUCCH] along with the HARQ-ACK feedback.</w:t>
            </w:r>
          </w:p>
        </w:tc>
      </w:tr>
      <w:tr w:rsidR="004836F6" w:rsidRPr="00832B28" w14:paraId="2AEE9FC8" w14:textId="77777777" w:rsidTr="00DF6BA7">
        <w:trPr>
          <w:trHeight w:val="1400"/>
          <w:jc w:val="center"/>
        </w:trPr>
        <w:tc>
          <w:tcPr>
            <w:tcW w:w="3069" w:type="dxa"/>
            <w:tcBorders>
              <w:top w:val="single" w:sz="4" w:space="0" w:color="8EAADB"/>
              <w:left w:val="single" w:sz="4" w:space="0" w:color="8EAADB"/>
              <w:bottom w:val="single" w:sz="4" w:space="0" w:color="8EAADB"/>
              <w:right w:val="single" w:sz="4" w:space="0" w:color="8EAADB"/>
            </w:tcBorders>
            <w:shd w:val="clear" w:color="auto" w:fill="D9E2F3"/>
            <w:hideMark/>
          </w:tcPr>
          <w:p w14:paraId="7F590BCF" w14:textId="77777777" w:rsidR="004836F6" w:rsidRPr="00832B28" w:rsidRDefault="004836F6" w:rsidP="00173DF9">
            <w:pPr>
              <w:spacing w:after="0"/>
              <w:rPr>
                <w:rFonts w:ascii="Times" w:eastAsia="Batang" w:hAnsi="Times"/>
                <w:bCs/>
                <w:color w:val="2F5496"/>
                <w:szCs w:val="24"/>
                <w:lang w:eastAsia="x-none"/>
              </w:rPr>
            </w:pPr>
            <w:r w:rsidRPr="00832B28">
              <w:rPr>
                <w:rFonts w:ascii="Times" w:eastAsia="Batang" w:hAnsi="Times"/>
                <w:b/>
                <w:color w:val="2F5496"/>
                <w:szCs w:val="24"/>
                <w:lang w:eastAsia="x-none"/>
              </w:rPr>
              <w:t>Alt3</w:t>
            </w:r>
            <w:r w:rsidRPr="00832B28">
              <w:rPr>
                <w:rFonts w:ascii="Times" w:eastAsia="Batang" w:hAnsi="Times"/>
                <w:color w:val="2F5496"/>
                <w:szCs w:val="24"/>
                <w:lang w:eastAsia="x-none"/>
              </w:rPr>
              <w:t xml:space="preserve">: </w:t>
            </w:r>
            <w:proofErr w:type="spellStart"/>
            <w:r w:rsidRPr="00832B28">
              <w:rPr>
                <w:rFonts w:ascii="Times" w:eastAsia="Batang" w:hAnsi="Times"/>
                <w:color w:val="2F5496"/>
                <w:szCs w:val="24"/>
                <w:lang w:eastAsia="x-none"/>
              </w:rPr>
              <w:t>gNB</w:t>
            </w:r>
            <w:proofErr w:type="spellEnd"/>
            <w:r w:rsidRPr="00832B28">
              <w:rPr>
                <w:rFonts w:ascii="Times" w:eastAsia="Batang" w:hAnsi="Times"/>
                <w:color w:val="2F5496"/>
                <w:szCs w:val="24"/>
                <w:lang w:eastAsia="x-none"/>
              </w:rPr>
              <w:t xml:space="preserve"> requests feedback outside the COT by </w:t>
            </w:r>
            <w:r w:rsidRPr="00832B28">
              <w:rPr>
                <w:rFonts w:ascii="Times" w:eastAsia="Batang" w:hAnsi="Times"/>
                <w:bCs/>
                <w:color w:val="2F5496"/>
                <w:szCs w:val="24"/>
                <w:lang w:eastAsia="x-none"/>
              </w:rPr>
              <w:t>PDSCH-to-HARQ-timing-indicator in the DCI scheduling the PDSCH</w:t>
            </w:r>
          </w:p>
        </w:tc>
        <w:tc>
          <w:tcPr>
            <w:tcW w:w="3070" w:type="dxa"/>
            <w:tcBorders>
              <w:top w:val="single" w:sz="4" w:space="0" w:color="8EAADB"/>
              <w:left w:val="single" w:sz="4" w:space="0" w:color="8EAADB"/>
              <w:bottom w:val="single" w:sz="4" w:space="0" w:color="8EAADB"/>
              <w:right w:val="single" w:sz="4" w:space="0" w:color="8EAADB"/>
            </w:tcBorders>
            <w:shd w:val="clear" w:color="auto" w:fill="D9E2F3"/>
            <w:hideMark/>
          </w:tcPr>
          <w:p w14:paraId="16270FF2"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Cs/>
                <w:color w:val="2F5496"/>
                <w:szCs w:val="24"/>
                <w:lang w:eastAsia="x-none"/>
              </w:rPr>
              <w:t xml:space="preserve">The UE will attempt reporting at the indicated time and resource (e.g. in a UE-initiated channel occupancy), even if the PDSCH-to-HARQ-timing-indicator indicates a slot that falls outside the </w:t>
            </w:r>
            <w:proofErr w:type="spellStart"/>
            <w:r w:rsidRPr="00832B28">
              <w:rPr>
                <w:rFonts w:ascii="Times" w:eastAsia="Batang" w:hAnsi="Times"/>
                <w:bCs/>
                <w:color w:val="2F5496"/>
                <w:szCs w:val="24"/>
                <w:lang w:eastAsia="x-none"/>
              </w:rPr>
              <w:t>gNB</w:t>
            </w:r>
            <w:proofErr w:type="spellEnd"/>
            <w:r w:rsidRPr="00832B28">
              <w:rPr>
                <w:rFonts w:ascii="Times" w:eastAsia="Batang" w:hAnsi="Times"/>
                <w:bCs/>
                <w:color w:val="2F5496"/>
                <w:szCs w:val="24"/>
                <w:lang w:eastAsia="x-none"/>
              </w:rPr>
              <w:t>-initiated COT.</w:t>
            </w:r>
          </w:p>
        </w:tc>
        <w:tc>
          <w:tcPr>
            <w:tcW w:w="3070" w:type="dxa"/>
            <w:tcBorders>
              <w:top w:val="single" w:sz="4" w:space="0" w:color="8EAADB"/>
              <w:left w:val="single" w:sz="4" w:space="0" w:color="8EAADB"/>
              <w:bottom w:val="single" w:sz="4" w:space="0" w:color="8EAADB"/>
              <w:right w:val="single" w:sz="4" w:space="0" w:color="8EAADB"/>
            </w:tcBorders>
            <w:shd w:val="clear" w:color="auto" w:fill="D9E2F3"/>
            <w:hideMark/>
          </w:tcPr>
          <w:p w14:paraId="739B613F"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color w:val="2F5496"/>
                <w:szCs w:val="24"/>
                <w:lang w:eastAsia="x-none"/>
              </w:rPr>
              <w:t xml:space="preserve">Not a solution if </w:t>
            </w:r>
            <w:r w:rsidRPr="00832B28">
              <w:rPr>
                <w:rFonts w:ascii="Times" w:eastAsia="Batang" w:hAnsi="Times"/>
                <w:bCs/>
                <w:color w:val="2F5496"/>
                <w:szCs w:val="24"/>
                <w:lang w:eastAsia="x-none"/>
              </w:rPr>
              <w:t>PDSCH-to-HARQ-timing-indicator can only indicate a single value</w:t>
            </w:r>
          </w:p>
        </w:tc>
      </w:tr>
      <w:tr w:rsidR="004836F6" w:rsidRPr="00832B28" w14:paraId="399B00FF" w14:textId="77777777" w:rsidTr="00DF6BA7">
        <w:trPr>
          <w:trHeight w:val="1118"/>
          <w:jc w:val="center"/>
        </w:trPr>
        <w:tc>
          <w:tcPr>
            <w:tcW w:w="3069" w:type="dxa"/>
            <w:tcBorders>
              <w:top w:val="single" w:sz="4" w:space="0" w:color="8EAADB"/>
              <w:left w:val="single" w:sz="4" w:space="0" w:color="8EAADB"/>
              <w:bottom w:val="single" w:sz="4" w:space="0" w:color="8EAADB"/>
              <w:right w:val="single" w:sz="4" w:space="0" w:color="8EAADB"/>
            </w:tcBorders>
            <w:hideMark/>
          </w:tcPr>
          <w:p w14:paraId="1F7472BB"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
                <w:color w:val="2F5496"/>
                <w:szCs w:val="24"/>
                <w:lang w:eastAsia="x-none"/>
              </w:rPr>
              <w:t>Alt4</w:t>
            </w:r>
            <w:r w:rsidRPr="00832B28">
              <w:rPr>
                <w:rFonts w:ascii="Times" w:eastAsia="Batang" w:hAnsi="Times"/>
                <w:color w:val="2F5496"/>
                <w:szCs w:val="24"/>
                <w:lang w:eastAsia="x-none"/>
              </w:rPr>
              <w:t xml:space="preserve">: preconfigured/pre-indicated multiple opportunities in frequency domain in different LBT </w:t>
            </w:r>
            <w:proofErr w:type="spellStart"/>
            <w:r w:rsidRPr="00832B28">
              <w:rPr>
                <w:rFonts w:ascii="Times" w:eastAsia="Batang" w:hAnsi="Times"/>
                <w:color w:val="2F5496"/>
                <w:szCs w:val="24"/>
                <w:lang w:eastAsia="x-none"/>
              </w:rPr>
              <w:t>subbands</w:t>
            </w:r>
            <w:proofErr w:type="spellEnd"/>
          </w:p>
        </w:tc>
        <w:tc>
          <w:tcPr>
            <w:tcW w:w="3070" w:type="dxa"/>
            <w:tcBorders>
              <w:top w:val="single" w:sz="4" w:space="0" w:color="8EAADB"/>
              <w:left w:val="single" w:sz="4" w:space="0" w:color="8EAADB"/>
              <w:bottom w:val="single" w:sz="4" w:space="0" w:color="8EAADB"/>
              <w:right w:val="single" w:sz="4" w:space="0" w:color="8EAADB"/>
            </w:tcBorders>
            <w:hideMark/>
          </w:tcPr>
          <w:p w14:paraId="516236D1"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color w:val="2F5496"/>
                <w:szCs w:val="24"/>
                <w:lang w:eastAsia="x-none"/>
              </w:rPr>
              <w:t>Possible if this is combined with Alt1 or Alt2 or Alt3</w:t>
            </w:r>
          </w:p>
        </w:tc>
        <w:tc>
          <w:tcPr>
            <w:tcW w:w="3070" w:type="dxa"/>
            <w:tcBorders>
              <w:top w:val="single" w:sz="4" w:space="0" w:color="8EAADB"/>
              <w:left w:val="single" w:sz="4" w:space="0" w:color="8EAADB"/>
              <w:bottom w:val="single" w:sz="4" w:space="0" w:color="8EAADB"/>
              <w:right w:val="single" w:sz="4" w:space="0" w:color="8EAADB"/>
            </w:tcBorders>
            <w:hideMark/>
          </w:tcPr>
          <w:p w14:paraId="3FDDC352"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color w:val="2F5496"/>
                <w:szCs w:val="24"/>
                <w:lang w:eastAsia="x-none"/>
              </w:rPr>
              <w:t>Possible for indicating multiple candidate PUCCH or PUSCH carrying HARQ-ACK feedback</w:t>
            </w:r>
          </w:p>
        </w:tc>
      </w:tr>
      <w:tr w:rsidR="004836F6" w:rsidRPr="00832B28" w14:paraId="17211F2D" w14:textId="77777777" w:rsidTr="00DF6BA7">
        <w:trPr>
          <w:jc w:val="center"/>
        </w:trPr>
        <w:tc>
          <w:tcPr>
            <w:tcW w:w="3069" w:type="dxa"/>
            <w:tcBorders>
              <w:top w:val="single" w:sz="4" w:space="0" w:color="8EAADB"/>
              <w:left w:val="single" w:sz="4" w:space="0" w:color="8EAADB"/>
              <w:bottom w:val="single" w:sz="4" w:space="0" w:color="8EAADB"/>
              <w:right w:val="single" w:sz="4" w:space="0" w:color="8EAADB"/>
            </w:tcBorders>
            <w:shd w:val="clear" w:color="auto" w:fill="D9E2F3"/>
            <w:hideMark/>
          </w:tcPr>
          <w:p w14:paraId="0A82192C"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
                <w:color w:val="2F5496"/>
                <w:szCs w:val="24"/>
                <w:lang w:eastAsia="x-none"/>
              </w:rPr>
              <w:t>Alt5</w:t>
            </w:r>
            <w:r w:rsidRPr="00832B28">
              <w:rPr>
                <w:rFonts w:ascii="Times" w:eastAsia="Batang" w:hAnsi="Times"/>
                <w:color w:val="2F5496"/>
                <w:szCs w:val="24"/>
                <w:lang w:eastAsia="x-none"/>
              </w:rPr>
              <w:t>: preconfigured/pre-indicated multiple opportunities in time domain</w:t>
            </w:r>
          </w:p>
        </w:tc>
        <w:tc>
          <w:tcPr>
            <w:tcW w:w="3070" w:type="dxa"/>
            <w:tcBorders>
              <w:top w:val="single" w:sz="4" w:space="0" w:color="8EAADB"/>
              <w:left w:val="single" w:sz="4" w:space="0" w:color="8EAADB"/>
              <w:bottom w:val="single" w:sz="4" w:space="0" w:color="8EAADB"/>
              <w:right w:val="single" w:sz="4" w:space="0" w:color="8EAADB"/>
            </w:tcBorders>
            <w:shd w:val="clear" w:color="auto" w:fill="D9E2F3"/>
            <w:hideMark/>
          </w:tcPr>
          <w:p w14:paraId="3C0C5AFE"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bCs/>
                <w:color w:val="2F5496"/>
                <w:szCs w:val="24"/>
                <w:lang w:eastAsia="x-none"/>
              </w:rPr>
              <w:t xml:space="preserve">The UE will attempt reporting at the </w:t>
            </w:r>
            <w:r w:rsidRPr="00832B28">
              <w:rPr>
                <w:rFonts w:ascii="Times" w:eastAsia="Batang" w:hAnsi="Times"/>
                <w:color w:val="2F5496"/>
                <w:szCs w:val="24"/>
                <w:lang w:eastAsia="x-none"/>
              </w:rPr>
              <w:t>preconfigured/pre-indicated</w:t>
            </w:r>
            <w:r w:rsidRPr="00832B28">
              <w:rPr>
                <w:rFonts w:ascii="Times" w:eastAsia="Batang" w:hAnsi="Times"/>
                <w:bCs/>
                <w:color w:val="2F5496"/>
                <w:szCs w:val="24"/>
                <w:lang w:eastAsia="x-none"/>
              </w:rPr>
              <w:t xml:space="preserve"> times and resources (e.g. in a UE-initiated channel occupancy)</w:t>
            </w:r>
          </w:p>
        </w:tc>
        <w:tc>
          <w:tcPr>
            <w:tcW w:w="3070" w:type="dxa"/>
            <w:tcBorders>
              <w:top w:val="single" w:sz="4" w:space="0" w:color="8EAADB"/>
              <w:left w:val="single" w:sz="4" w:space="0" w:color="8EAADB"/>
              <w:bottom w:val="single" w:sz="4" w:space="0" w:color="8EAADB"/>
              <w:right w:val="single" w:sz="4" w:space="0" w:color="8EAADB"/>
            </w:tcBorders>
            <w:shd w:val="clear" w:color="auto" w:fill="D9E2F3"/>
          </w:tcPr>
          <w:p w14:paraId="410B89FB"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color w:val="2F5496"/>
                <w:szCs w:val="24"/>
                <w:lang w:eastAsia="x-none"/>
              </w:rPr>
              <w:t>Alt5a: Multiple candidate opportunities by providing multiple timings in PDSCH-to-HARQ-timing-indicator and/or other DCI fields</w:t>
            </w:r>
          </w:p>
          <w:p w14:paraId="72B93580" w14:textId="77777777" w:rsidR="004836F6" w:rsidRPr="00832B28" w:rsidRDefault="004836F6" w:rsidP="00173DF9">
            <w:pPr>
              <w:spacing w:after="0"/>
              <w:rPr>
                <w:rFonts w:ascii="Times" w:eastAsia="Batang" w:hAnsi="Times"/>
                <w:color w:val="2F5496"/>
                <w:szCs w:val="24"/>
                <w:lang w:eastAsia="x-none"/>
              </w:rPr>
            </w:pPr>
          </w:p>
          <w:p w14:paraId="46466F1A" w14:textId="77777777" w:rsidR="004836F6" w:rsidRPr="00832B28" w:rsidRDefault="004836F6" w:rsidP="00173DF9">
            <w:pPr>
              <w:spacing w:after="0"/>
              <w:rPr>
                <w:rFonts w:ascii="Times" w:eastAsia="Batang" w:hAnsi="Times"/>
                <w:color w:val="2F5496"/>
                <w:szCs w:val="24"/>
                <w:lang w:eastAsia="x-none"/>
              </w:rPr>
            </w:pPr>
            <w:r w:rsidRPr="00832B28">
              <w:rPr>
                <w:rFonts w:ascii="Times" w:eastAsia="Batang" w:hAnsi="Times"/>
                <w:color w:val="2F5496"/>
                <w:szCs w:val="24"/>
                <w:lang w:eastAsia="x-none"/>
              </w:rPr>
              <w:t>Alt5b: Multiple candidate slots in a window with size configured by RRC. There could be some activation/deactivation by DCI</w:t>
            </w:r>
          </w:p>
        </w:tc>
      </w:tr>
    </w:tbl>
    <w:p w14:paraId="162E4AF3" w14:textId="1254468B" w:rsidR="004836F6" w:rsidRDefault="004836F6" w:rsidP="00DF6BA7">
      <w:pPr>
        <w:pStyle w:val="ListParagraph"/>
        <w:rPr>
          <w:rFonts w:ascii="Times" w:eastAsia="Batang" w:hAnsi="Times"/>
          <w:szCs w:val="24"/>
          <w:lang w:eastAsia="x-none"/>
        </w:rPr>
      </w:pPr>
    </w:p>
    <w:p w14:paraId="15F2609C" w14:textId="47DE8206" w:rsidR="00907E3C" w:rsidRPr="00DF6BA7" w:rsidRDefault="00907E3C" w:rsidP="00DF6BA7">
      <w:pPr>
        <w:pStyle w:val="BodyText"/>
      </w:pPr>
      <w:r w:rsidRPr="00DF6BA7">
        <w:t xml:space="preserve">Before going into the complications of all the options, it should be noted that in most cases the feedback will be transmitted immediately after the DL transmission if the gap is less than 16us as per the following </w:t>
      </w:r>
      <w:r w:rsidR="00C856BD" w:rsidRPr="00DF6BA7">
        <w:t xml:space="preserve">agreement from </w:t>
      </w:r>
      <w:r w:rsidR="00C856BD">
        <w:rPr>
          <w:lang w:val="en-150"/>
        </w:rPr>
        <w:t>section 7.2.1.3.3 in the TR</w:t>
      </w:r>
      <w:r w:rsidR="00DF6BA7">
        <w:rPr>
          <w:lang w:val="en-150"/>
        </w:rPr>
        <w:t xml:space="preserve"> [1]</w:t>
      </w:r>
      <w:r w:rsidR="00C856BD">
        <w:rPr>
          <w:lang w:val="en-150"/>
        </w:rPr>
        <w:t xml:space="preserve">: </w:t>
      </w:r>
      <w:r w:rsidR="00C856BD" w:rsidRPr="00DF6BA7">
        <w:t xml:space="preserve"> </w:t>
      </w:r>
    </w:p>
    <w:p w14:paraId="0F19070E" w14:textId="6BEAAE90" w:rsidR="00C856BD" w:rsidRPr="00DF6BA7" w:rsidRDefault="00C856BD" w:rsidP="00DF6BA7">
      <w:pPr>
        <w:ind w:left="567"/>
        <w:rPr>
          <w:i/>
          <w:lang w:val="en-US" w:eastAsia="x-none"/>
        </w:rPr>
      </w:pPr>
      <w:r w:rsidRPr="00DF6BA7">
        <w:rPr>
          <w:i/>
          <w:lang w:val="en-US" w:eastAsia="x-none"/>
        </w:rPr>
        <w:t xml:space="preserve">A gap of up to 16 </w:t>
      </w:r>
      <w:r>
        <w:rPr>
          <w:i/>
          <w:lang w:val="en-150" w:eastAsia="x-none"/>
        </w:rPr>
        <w:t>u</w:t>
      </w:r>
      <w:r w:rsidRPr="00DF6BA7">
        <w:rPr>
          <w:i/>
          <w:lang w:val="en-US" w:eastAsia="x-none"/>
        </w:rPr>
        <w:t>s should be allowed between the end of the DL transmission and the immediate transmission of feedback to accommodate for the hardware turnaround time</w:t>
      </w:r>
    </w:p>
    <w:p w14:paraId="08D536DE" w14:textId="69A28112" w:rsidR="00907E3C" w:rsidRDefault="00907E3C" w:rsidP="00DF6BA7">
      <w:pPr>
        <w:pStyle w:val="BodyText"/>
      </w:pPr>
      <w:r w:rsidRPr="00DF6BA7">
        <w:t xml:space="preserve">Having said that, the feedback transmission will not be restricted or blocked by the LBT procedure in </w:t>
      </w:r>
      <w:r w:rsidR="00635B57" w:rsidRPr="00DF6BA7">
        <w:t>most of</w:t>
      </w:r>
      <w:r w:rsidRPr="00DF6BA7">
        <w:t xml:space="preserve"> the cases. However, there will still be some limited cases where the feedback is not received within the same COT which includes: </w:t>
      </w:r>
    </w:p>
    <w:p w14:paraId="30649B92" w14:textId="77777777" w:rsidR="00907E3C" w:rsidRDefault="00907E3C" w:rsidP="00DF6BA7">
      <w:pPr>
        <w:pStyle w:val="BodyText"/>
        <w:numPr>
          <w:ilvl w:val="0"/>
          <w:numId w:val="17"/>
        </w:numPr>
      </w:pPr>
      <w:r w:rsidRPr="00DF6BA7">
        <w:t xml:space="preserve">The UE does not have enough time to process and report the feedback of the last PDSCH before the scheduled resources for the feedback transmission </w:t>
      </w:r>
    </w:p>
    <w:p w14:paraId="2FC4C3A8" w14:textId="5D5EAFB5" w:rsidR="00C06081" w:rsidRPr="00DF6BA7" w:rsidRDefault="00907E3C" w:rsidP="00DF6BA7">
      <w:pPr>
        <w:pStyle w:val="BodyText"/>
        <w:numPr>
          <w:ilvl w:val="0"/>
          <w:numId w:val="17"/>
        </w:numPr>
      </w:pPr>
      <w:r w:rsidRPr="00DF6BA7">
        <w:t xml:space="preserve">The feedback is sent by the UE but not correctly decoded or detected by the </w:t>
      </w:r>
      <w:proofErr w:type="spellStart"/>
      <w:r w:rsidRPr="00DF6BA7">
        <w:t>gNB</w:t>
      </w:r>
      <w:proofErr w:type="spellEnd"/>
      <w:r w:rsidRPr="00DF6BA7">
        <w:t xml:space="preserve">. </w:t>
      </w:r>
    </w:p>
    <w:p w14:paraId="7957E0A2" w14:textId="623AE083" w:rsidR="00907E3C" w:rsidRPr="00DF6BA7" w:rsidRDefault="00907E3C" w:rsidP="00DF6BA7">
      <w:pPr>
        <w:pStyle w:val="BodyText"/>
      </w:pPr>
      <w:r w:rsidRPr="00DF6BA7">
        <w:t>It is important to support extensions to handle those cases</w:t>
      </w:r>
      <w:r w:rsidR="00C856BD" w:rsidRPr="00DF6BA7">
        <w:t>.</w:t>
      </w:r>
      <w:r w:rsidRPr="00DF6BA7">
        <w:t xml:space="preserve"> </w:t>
      </w:r>
      <w:r w:rsidR="00C856BD" w:rsidRPr="00DF6BA7">
        <w:t>Nonetheless,</w:t>
      </w:r>
      <w:r w:rsidRPr="00DF6BA7">
        <w:t xml:space="preserve"> those extensions should be kept as simple as possible as compared to what rel-15 supports. </w:t>
      </w:r>
    </w:p>
    <w:p w14:paraId="69A09979" w14:textId="776C2594" w:rsidR="00C06081" w:rsidRDefault="00C06081" w:rsidP="00C06081">
      <w:pPr>
        <w:jc w:val="both"/>
        <w:rPr>
          <w:rFonts w:asciiTheme="minorBidi" w:hAnsiTheme="minorBidi" w:cstheme="minorBidi"/>
          <w:lang w:val="en-US"/>
        </w:rPr>
      </w:pPr>
      <w:r>
        <w:rPr>
          <w:rFonts w:asciiTheme="minorBidi" w:hAnsiTheme="minorBidi" w:cstheme="minorBidi"/>
          <w:lang w:val="en-US"/>
        </w:rPr>
        <w:t>The solution</w:t>
      </w:r>
      <w:r w:rsidR="00C856BD">
        <w:rPr>
          <w:rFonts w:asciiTheme="minorBidi" w:hAnsiTheme="minorBidi" w:cstheme="minorBidi"/>
          <w:lang w:val="en-150"/>
        </w:rPr>
        <w:t>(s)</w:t>
      </w:r>
      <w:r>
        <w:rPr>
          <w:rFonts w:asciiTheme="minorBidi" w:hAnsiTheme="minorBidi" w:cstheme="minorBidi"/>
          <w:lang w:val="en-US"/>
        </w:rPr>
        <w:t xml:space="preserve"> should at least handle the following main issues: </w:t>
      </w:r>
    </w:p>
    <w:p w14:paraId="6488F9FE" w14:textId="3C3F0BE6" w:rsidR="00D05A02" w:rsidRPr="00C33D2A" w:rsidRDefault="00C06081" w:rsidP="001A7386">
      <w:pPr>
        <w:pStyle w:val="ListParagraph"/>
        <w:numPr>
          <w:ilvl w:val="0"/>
          <w:numId w:val="13"/>
        </w:numPr>
        <w:jc w:val="both"/>
        <w:rPr>
          <w:rStyle w:val="IvDbodytextChar"/>
          <w:rFonts w:asciiTheme="minorBidi" w:hAnsiTheme="minorBidi" w:cstheme="minorBidi"/>
          <w:spacing w:val="0"/>
          <w:sz w:val="20"/>
          <w:szCs w:val="20"/>
        </w:rPr>
      </w:pPr>
      <w:r>
        <w:rPr>
          <w:rStyle w:val="IvDbodytextChar"/>
          <w:sz w:val="20"/>
          <w:szCs w:val="20"/>
        </w:rPr>
        <w:t xml:space="preserve">Supplementary feedback occasions: provide the UE with another opportunity to send the failed feedback without additional overhead. </w:t>
      </w:r>
    </w:p>
    <w:p w14:paraId="59B848D3" w14:textId="77777777" w:rsidR="00D05A02" w:rsidRPr="00C33D2A" w:rsidRDefault="00D05A02" w:rsidP="00C33D2A">
      <w:pPr>
        <w:pStyle w:val="ListParagraph"/>
        <w:jc w:val="both"/>
        <w:rPr>
          <w:rStyle w:val="IvDbodytextChar"/>
          <w:rFonts w:asciiTheme="minorBidi" w:hAnsiTheme="minorBidi" w:cstheme="minorBidi"/>
          <w:spacing w:val="0"/>
          <w:sz w:val="20"/>
          <w:szCs w:val="20"/>
        </w:rPr>
      </w:pPr>
    </w:p>
    <w:p w14:paraId="21426617" w14:textId="0650EEB0" w:rsidR="003C4B9C" w:rsidRPr="004D1DC2" w:rsidRDefault="00D05A02" w:rsidP="00DF6BA7">
      <w:pPr>
        <w:pStyle w:val="ListParagraph"/>
        <w:jc w:val="both"/>
        <w:rPr>
          <w:rStyle w:val="IvDbodytextChar"/>
          <w:rFonts w:asciiTheme="minorBidi" w:hAnsiTheme="minorBidi" w:cstheme="minorBidi"/>
          <w:spacing w:val="0"/>
          <w:sz w:val="20"/>
          <w:szCs w:val="20"/>
        </w:rPr>
      </w:pPr>
      <w:r w:rsidRPr="00D05A02">
        <w:rPr>
          <w:rStyle w:val="IvDbodytextChar"/>
          <w:sz w:val="20"/>
          <w:szCs w:val="20"/>
        </w:rPr>
        <w:t>T</w:t>
      </w:r>
      <w:r w:rsidR="00C06081" w:rsidRPr="00D05A02">
        <w:rPr>
          <w:rStyle w:val="IvDbodytextChar"/>
          <w:sz w:val="20"/>
          <w:szCs w:val="20"/>
        </w:rPr>
        <w:t xml:space="preserve">he </w:t>
      </w:r>
      <w:proofErr w:type="spellStart"/>
      <w:r w:rsidR="00C06081" w:rsidRPr="00D05A02">
        <w:rPr>
          <w:rStyle w:val="IvDbodytextChar"/>
          <w:sz w:val="20"/>
          <w:szCs w:val="20"/>
        </w:rPr>
        <w:t>gNB</w:t>
      </w:r>
      <w:proofErr w:type="spellEnd"/>
      <w:r w:rsidR="00C06081" w:rsidRPr="00D05A02">
        <w:rPr>
          <w:rStyle w:val="IvDbodytextChar"/>
          <w:sz w:val="20"/>
          <w:szCs w:val="20"/>
        </w:rPr>
        <w:t xml:space="preserve"> cannot distinguish between a failed LBT and a missed PUCCH detection. This will cause misalignment between the expected codebook size by the </w:t>
      </w:r>
      <w:proofErr w:type="spellStart"/>
      <w:r w:rsidR="00C06081" w:rsidRPr="00D05A02">
        <w:rPr>
          <w:rStyle w:val="IvDbodytextChar"/>
          <w:sz w:val="20"/>
          <w:szCs w:val="20"/>
        </w:rPr>
        <w:t>gNB</w:t>
      </w:r>
      <w:proofErr w:type="spellEnd"/>
      <w:r w:rsidR="00C06081" w:rsidRPr="00D05A02">
        <w:rPr>
          <w:rStyle w:val="IvDbodytextChar"/>
          <w:sz w:val="20"/>
          <w:szCs w:val="20"/>
        </w:rPr>
        <w:t xml:space="preserve"> and the actual one sent by the UE. </w:t>
      </w:r>
      <w:r>
        <w:rPr>
          <w:rStyle w:val="IvDbodytextChar"/>
          <w:sz w:val="20"/>
          <w:szCs w:val="20"/>
        </w:rPr>
        <w:t xml:space="preserve">Therefore, NR-U should support </w:t>
      </w:r>
      <w:r>
        <w:rPr>
          <w:rStyle w:val="IvDbodytextChar"/>
          <w:rFonts w:asciiTheme="minorBidi" w:hAnsiTheme="minorBidi" w:cstheme="minorBidi"/>
          <w:spacing w:val="0"/>
          <w:sz w:val="20"/>
          <w:szCs w:val="20"/>
        </w:rPr>
        <w:t xml:space="preserve">including a mechanism to inform the UE if the transmitted feedback was received by the </w:t>
      </w:r>
      <w:proofErr w:type="spellStart"/>
      <w:r>
        <w:rPr>
          <w:rStyle w:val="IvDbodytextChar"/>
          <w:rFonts w:asciiTheme="minorBidi" w:hAnsiTheme="minorBidi" w:cstheme="minorBidi"/>
          <w:spacing w:val="0"/>
          <w:sz w:val="20"/>
          <w:szCs w:val="20"/>
        </w:rPr>
        <w:t>gNB</w:t>
      </w:r>
      <w:proofErr w:type="spellEnd"/>
      <w:r>
        <w:rPr>
          <w:rStyle w:val="IvDbodytextChar"/>
          <w:rFonts w:asciiTheme="minorBidi" w:hAnsiTheme="minorBidi" w:cstheme="minorBidi"/>
          <w:spacing w:val="0"/>
          <w:sz w:val="20"/>
          <w:szCs w:val="20"/>
        </w:rPr>
        <w:t xml:space="preserve"> or not.</w:t>
      </w:r>
    </w:p>
    <w:p w14:paraId="53BFA61E" w14:textId="77777777" w:rsidR="00D05A02" w:rsidRDefault="00D05A02" w:rsidP="00DF6BA7">
      <w:pPr>
        <w:pStyle w:val="ListParagraph"/>
        <w:jc w:val="both"/>
      </w:pPr>
    </w:p>
    <w:p w14:paraId="790B0C77" w14:textId="68E7F928" w:rsidR="008D6499" w:rsidRPr="00DF6BA7" w:rsidRDefault="00D05A02" w:rsidP="00DF6BA7">
      <w:pPr>
        <w:pStyle w:val="Proposal"/>
        <w:rPr>
          <w:rStyle w:val="IvDbodytextChar"/>
          <w:spacing w:val="0"/>
          <w:lang w:val="en-GB" w:eastAsia="zh-CN"/>
        </w:rPr>
      </w:pPr>
      <w:bookmarkStart w:id="4" w:name="_Toc535015251"/>
      <w:r w:rsidRPr="00C33D2A">
        <w:lastRenderedPageBreak/>
        <w:t xml:space="preserve">Alignment between </w:t>
      </w:r>
      <w:proofErr w:type="spellStart"/>
      <w:r w:rsidRPr="00C33D2A">
        <w:t>gNB</w:t>
      </w:r>
      <w:proofErr w:type="spellEnd"/>
      <w:r w:rsidRPr="00C33D2A">
        <w:t xml:space="preserve"> expected codebook size on UCI and the one reported by the UE even in case of PUCCH misdetection should always be guaranteed.</w:t>
      </w:r>
      <w:bookmarkEnd w:id="4"/>
      <w:r w:rsidRPr="00C33D2A">
        <w:t xml:space="preserve"> </w:t>
      </w:r>
      <w:r w:rsidR="003C4B9C" w:rsidRPr="00DF6BA7">
        <w:rPr>
          <w:rStyle w:val="IvDbodytextChar"/>
          <w:rFonts w:eastAsia="Calibri"/>
          <w:b w:val="0"/>
          <w:bCs w:val="0"/>
          <w:lang w:val="en-150"/>
        </w:rPr>
        <w:t xml:space="preserve"> </w:t>
      </w:r>
    </w:p>
    <w:p w14:paraId="53B99654" w14:textId="5E3A3A9A" w:rsidR="008D6499" w:rsidRPr="00DF6BA7" w:rsidRDefault="008D6499" w:rsidP="00DF6BA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DF6BA7">
        <w:t xml:space="preserve">Our understanding is that alternative 3 can be realized using NR Rel-15 with no changes. Alternative 2, on the other hand, is very problematic from </w:t>
      </w:r>
      <w:proofErr w:type="spellStart"/>
      <w:r w:rsidRPr="00DF6BA7">
        <w:t>gNB</w:t>
      </w:r>
      <w:proofErr w:type="spellEnd"/>
      <w:r w:rsidRPr="00DF6BA7">
        <w:t xml:space="preserve"> perspective. In Alternative 2, UE autonomously reports UCI with additional information about HARQ processes which increases the processing burden at the </w:t>
      </w:r>
      <w:proofErr w:type="spellStart"/>
      <w:r w:rsidRPr="00DF6BA7">
        <w:t>gNB</w:t>
      </w:r>
      <w:proofErr w:type="spellEnd"/>
      <w:r w:rsidRPr="00DF6BA7">
        <w:t xml:space="preserve"> which does not know where and when to expect this feedback.</w:t>
      </w:r>
    </w:p>
    <w:p w14:paraId="3FD70C9E" w14:textId="2CFBD225" w:rsidR="003C4B9C" w:rsidRPr="00DF6BA7" w:rsidRDefault="003C4B9C" w:rsidP="00DF6BA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DF6BA7">
        <w:t>The need or effectiveness of Alternative 4 depends on the decision RAN1/4 make about wide band operation.</w:t>
      </w:r>
    </w:p>
    <w:p w14:paraId="1CCB883B" w14:textId="0428DE5A" w:rsidR="00F10C89" w:rsidRPr="00DF6BA7" w:rsidRDefault="00F10C89" w:rsidP="00DF6BA7">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rsidRPr="00DF6BA7">
        <w:t>We believe there is enough merits in Alternative 1 and 5 to ove</w:t>
      </w:r>
      <w:r w:rsidR="008C4B0A" w:rsidRPr="00DF6BA7">
        <w:t xml:space="preserve">rcome the issues listed above. </w:t>
      </w:r>
    </w:p>
    <w:p w14:paraId="74C13C74" w14:textId="10B02785" w:rsidR="00D05A02" w:rsidRPr="00DF6BA7" w:rsidRDefault="00F10C89" w:rsidP="00DF6BA7">
      <w:pPr>
        <w:pStyle w:val="Proposal"/>
        <w:rPr>
          <w:rStyle w:val="IvDbodytextChar"/>
          <w:rFonts w:eastAsia="Calibri"/>
          <w:spacing w:val="0"/>
          <w:lang w:val="en-GB" w:eastAsia="zh-CN"/>
        </w:rPr>
      </w:pPr>
      <w:bookmarkStart w:id="5" w:name="_Toc535015252"/>
      <w:r w:rsidRPr="00DF6BA7">
        <w:rPr>
          <w:rStyle w:val="IvDbodytextChar"/>
          <w:rFonts w:eastAsia="Calibri"/>
          <w:spacing w:val="0"/>
          <w:lang w:val="en-GB" w:eastAsia="zh-CN"/>
        </w:rPr>
        <w:t xml:space="preserve">RAN1 to consider Alt1 and Alt5 to support </w:t>
      </w:r>
      <w:r w:rsidR="008D6499" w:rsidRPr="00DF6BA7">
        <w:rPr>
          <w:rStyle w:val="IvDbodytextChar"/>
          <w:rFonts w:eastAsia="Calibri"/>
          <w:spacing w:val="0"/>
          <w:lang w:val="en-GB" w:eastAsia="zh-CN"/>
        </w:rPr>
        <w:t>c</w:t>
      </w:r>
      <w:r w:rsidRPr="00DF6BA7">
        <w:rPr>
          <w:rStyle w:val="IvDbodytextChar"/>
          <w:rFonts w:eastAsia="Calibri"/>
          <w:spacing w:val="0"/>
          <w:lang w:val="en-GB" w:eastAsia="zh-CN"/>
        </w:rPr>
        <w:t xml:space="preserve">ross-COT HARQ-ACK feedback and </w:t>
      </w:r>
      <w:r w:rsidR="008D6499" w:rsidRPr="00DF6BA7">
        <w:rPr>
          <w:rStyle w:val="IvDbodytextChar"/>
          <w:rFonts w:eastAsia="Calibri"/>
          <w:spacing w:val="0"/>
          <w:lang w:val="en-GB" w:eastAsia="zh-CN"/>
        </w:rPr>
        <w:t>m</w:t>
      </w:r>
      <w:r w:rsidRPr="00DF6BA7">
        <w:rPr>
          <w:rStyle w:val="IvDbodytextChar"/>
          <w:rFonts w:eastAsia="Calibri"/>
          <w:spacing w:val="0"/>
          <w:lang w:val="en-GB" w:eastAsia="zh-CN"/>
        </w:rPr>
        <w:t>ultiple opportunities for HARQ-ACK feedback</w:t>
      </w:r>
      <w:bookmarkEnd w:id="5"/>
    </w:p>
    <w:p w14:paraId="56519DDE" w14:textId="6113D3FB" w:rsidR="00C856BD" w:rsidRPr="00DF6BA7" w:rsidRDefault="00C856BD" w:rsidP="00DF6BA7">
      <w:pPr>
        <w:pStyle w:val="Heading2"/>
        <w:rPr>
          <w:lang w:val="en-150"/>
        </w:rPr>
      </w:pPr>
      <w:r>
        <w:rPr>
          <w:lang w:val="en-150"/>
        </w:rPr>
        <w:t xml:space="preserve">2.2.1 DAI value extension </w:t>
      </w:r>
    </w:p>
    <w:p w14:paraId="34C143A3" w14:textId="6037C371" w:rsidR="00C856BD" w:rsidRDefault="00C856BD" w:rsidP="00C856BD">
      <w:pPr>
        <w:pStyle w:val="BodyText"/>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
        <w:t xml:space="preserve">The UE refers to the DAI value to calculate the dynamic codebook size. For every PDSCH transmission, the DAI value in the DCI is incremented. The DAI in the DL scheduling DCI should be stepped by one as compared to the immediately preceding DL scheduling DCI, if difference between the two received DAI values at the UE in current and earlier DCI is higher than 1, it is an indication that PDCCH transmission(s) has been missed. The DAI value in NR rel-15 is only 2-bits, after reaching the highest DAI value (i.e. 4), the value is reset again to the smallest value. This means that if the UE missed 4 or more PDSCH transmission, the UE will not be able to correctly calculate the codebook size, and therefore there will be misalignment between the </w:t>
      </w:r>
      <w:proofErr w:type="spellStart"/>
      <w:r>
        <w:t>gNB’s</w:t>
      </w:r>
      <w:proofErr w:type="spellEnd"/>
      <w:r>
        <w:t xml:space="preserve"> expected codebook size and the reported one by the UE. While missing 4 or more consecutive PDSCH on licensed carrier is unlikely, it is highly likely to happen on an unlicensed band due to collisions and especially for larger SCS where the slot duration is smaller Thereby, the 2-bit DAI will cause an issue. </w:t>
      </w:r>
    </w:p>
    <w:p w14:paraId="27F57AC5" w14:textId="77777777" w:rsidR="00C856BD" w:rsidRDefault="00C856BD" w:rsidP="00D05A02">
      <w:pPr>
        <w:pStyle w:val="ListParagraph"/>
        <w:jc w:val="both"/>
        <w:rPr>
          <w:rStyle w:val="IvDbodytextChar"/>
          <w:rFonts w:asciiTheme="minorBidi" w:hAnsiTheme="minorBidi" w:cstheme="minorBidi"/>
          <w:spacing w:val="0"/>
          <w:sz w:val="20"/>
          <w:szCs w:val="20"/>
        </w:rPr>
      </w:pPr>
    </w:p>
    <w:p w14:paraId="380E1096" w14:textId="7B716CCD" w:rsidR="00D05A02" w:rsidRDefault="00D05A02" w:rsidP="00D05A02">
      <w:pPr>
        <w:pStyle w:val="BodyText"/>
      </w:pPr>
      <w:r>
        <w:t>To eliminate the issues caused by the limited DAI combinations (issue 3), the DAI field in the DCI should be extended to accommodate for possibly missing more than 4 PDCCH transmissions.</w:t>
      </w:r>
    </w:p>
    <w:p w14:paraId="5F7C80D4" w14:textId="2A6739AA" w:rsidR="00C856BD" w:rsidRPr="00DF6BA7" w:rsidRDefault="00D05A02" w:rsidP="00DF6BA7">
      <w:pPr>
        <w:pStyle w:val="Proposal"/>
      </w:pPr>
      <w:bookmarkStart w:id="6" w:name="_Toc535015253"/>
      <w:r>
        <w:t>DCIs for scheduling PDSCH on unlicensed carriers should support larger DAI field as compared to Rel-15 NR DCI for scheduling PDSCH on licensed carrier.</w:t>
      </w:r>
      <w:bookmarkEnd w:id="6"/>
      <w:r>
        <w:t xml:space="preserve">  </w:t>
      </w:r>
    </w:p>
    <w:p w14:paraId="7D7F0492" w14:textId="10751D5C" w:rsidR="00C856BD" w:rsidRPr="00DF6BA7" w:rsidRDefault="00C856BD" w:rsidP="00DF6BA7">
      <w:pPr>
        <w:pStyle w:val="Heading2"/>
        <w:rPr>
          <w:lang w:val="en-150"/>
        </w:rPr>
      </w:pPr>
      <w:r>
        <w:rPr>
          <w:lang w:val="en-150"/>
        </w:rPr>
        <w:t xml:space="preserve">2.2.2 </w:t>
      </w:r>
      <w:r w:rsidRPr="00173DF9">
        <w:t>HARQ enhancement based on NFI:</w:t>
      </w:r>
      <w:r>
        <w:rPr>
          <w:lang w:val="en-150"/>
        </w:rPr>
        <w:t xml:space="preserve"> </w:t>
      </w:r>
    </w:p>
    <w:p w14:paraId="11ED68EE" w14:textId="7A3E3A75" w:rsidR="00DC31C1" w:rsidRPr="00C33D2A" w:rsidRDefault="00D05A02" w:rsidP="00C33D2A">
      <w:pPr>
        <w:jc w:val="both"/>
        <w:rPr>
          <w:rFonts w:asciiTheme="minorBidi" w:hAnsiTheme="minorBidi" w:cstheme="minorBidi"/>
          <w:lang w:val="en-US"/>
        </w:rPr>
      </w:pPr>
      <w:r>
        <w:rPr>
          <w:rFonts w:asciiTheme="minorBidi" w:hAnsiTheme="minorBidi" w:cstheme="minorBidi"/>
          <w:lang w:val="en-US"/>
        </w:rPr>
        <w:t>In the following</w:t>
      </w:r>
      <w:r w:rsidR="00803AAF">
        <w:rPr>
          <w:rFonts w:asciiTheme="minorBidi" w:hAnsiTheme="minorBidi" w:cstheme="minorBidi"/>
          <w:lang w:val="en-US"/>
        </w:rPr>
        <w:t xml:space="preserve">, </w:t>
      </w:r>
      <w:r>
        <w:rPr>
          <w:rFonts w:asciiTheme="minorBidi" w:hAnsiTheme="minorBidi" w:cstheme="minorBidi"/>
          <w:lang w:val="en-US"/>
        </w:rPr>
        <w:t>we discuss a</w:t>
      </w:r>
      <w:r w:rsidR="00C06081">
        <w:rPr>
          <w:rFonts w:asciiTheme="minorBidi" w:hAnsiTheme="minorBidi" w:cstheme="minorBidi"/>
          <w:lang w:val="en-US"/>
        </w:rPr>
        <w:t xml:space="preserve"> solution based on </w:t>
      </w:r>
      <w:r w:rsidR="00DC31C1">
        <w:rPr>
          <w:rFonts w:asciiTheme="minorBidi" w:hAnsiTheme="minorBidi" w:cstheme="minorBidi"/>
          <w:lang w:val="en-150"/>
        </w:rPr>
        <w:t>alternative 1.</w:t>
      </w:r>
      <w:r>
        <w:rPr>
          <w:rFonts w:asciiTheme="minorBidi" w:hAnsiTheme="minorBidi" w:cstheme="minorBidi"/>
          <w:lang w:val="en-US"/>
        </w:rPr>
        <w:t xml:space="preserve"> </w:t>
      </w:r>
    </w:p>
    <w:p w14:paraId="3B342AA1" w14:textId="26F2A01D" w:rsidR="003469D2" w:rsidRDefault="003469D2" w:rsidP="0046247E">
      <w:pPr>
        <w:pStyle w:val="BodyText"/>
        <w:rPr>
          <w:rStyle w:val="IvDbodytextChar"/>
        </w:rPr>
      </w:pPr>
      <w:r>
        <w:t>To resolve the possible misalignment</w:t>
      </w:r>
      <w:r w:rsidR="009F66CB">
        <w:t xml:space="preserve"> </w:t>
      </w:r>
      <w:r w:rsidR="003C0AF4">
        <w:t>caused by mis-detected feedback</w:t>
      </w:r>
      <w:r>
        <w:t>, we propose to add a toggle bit</w:t>
      </w:r>
      <w:r w:rsidR="00262E32">
        <w:t>, new feedback indicator (NFI)</w:t>
      </w:r>
      <w:r w:rsidR="009F66CB">
        <w:t>,</w:t>
      </w:r>
      <w:r w:rsidR="00262E32">
        <w:t xml:space="preserve"> </w:t>
      </w:r>
      <w:r>
        <w:t>in the DCI to indicate w</w:t>
      </w:r>
      <w:r w:rsidR="00262E32">
        <w:t>h</w:t>
      </w:r>
      <w:r>
        <w:t>e</w:t>
      </w:r>
      <w:r w:rsidR="00262E32">
        <w:t xml:space="preserve">ther the </w:t>
      </w:r>
      <w:r w:rsidR="0089634B">
        <w:rPr>
          <w:rStyle w:val="IvDbodytextChar"/>
        </w:rPr>
        <w:t xml:space="preserve">HARQ-ACK feedback from the UE was received by the </w:t>
      </w:r>
      <w:proofErr w:type="spellStart"/>
      <w:r w:rsidR="0089634B">
        <w:rPr>
          <w:rStyle w:val="IvDbodytextChar"/>
        </w:rPr>
        <w:t>gNB</w:t>
      </w:r>
      <w:proofErr w:type="spellEnd"/>
      <w:r w:rsidR="0089634B">
        <w:rPr>
          <w:rStyle w:val="IvDbodytextChar"/>
        </w:rPr>
        <w:t xml:space="preserve"> or not</w:t>
      </w:r>
      <w:r w:rsidR="00262E32">
        <w:rPr>
          <w:rStyle w:val="IvDbodytextChar"/>
        </w:rPr>
        <w:t xml:space="preserve">. The concept is very well inspired by the New </w:t>
      </w:r>
      <w:r w:rsidR="009F66CB">
        <w:rPr>
          <w:rStyle w:val="IvDbodytextChar"/>
        </w:rPr>
        <w:t>D</w:t>
      </w:r>
      <w:r w:rsidR="00262E32">
        <w:rPr>
          <w:rStyle w:val="IvDbodytextChar"/>
        </w:rPr>
        <w:t xml:space="preserve">ata </w:t>
      </w:r>
      <w:r w:rsidR="009F66CB">
        <w:rPr>
          <w:rStyle w:val="IvDbodytextChar"/>
        </w:rPr>
        <w:t>I</w:t>
      </w:r>
      <w:r w:rsidR="00262E32">
        <w:rPr>
          <w:rStyle w:val="IvDbodytextChar"/>
        </w:rPr>
        <w:t xml:space="preserve">ndicator (NDI) used in dedicated UL grants. In a way, the </w:t>
      </w:r>
      <w:proofErr w:type="spellStart"/>
      <w:r w:rsidR="00262E32">
        <w:rPr>
          <w:rStyle w:val="IvDbodytextChar"/>
        </w:rPr>
        <w:t>gNB</w:t>
      </w:r>
      <w:proofErr w:type="spellEnd"/>
      <w:r w:rsidR="00262E32">
        <w:rPr>
          <w:rStyle w:val="IvDbodytextChar"/>
        </w:rPr>
        <w:t xml:space="preserve"> sends an </w:t>
      </w:r>
      <w:r w:rsidR="00B73503">
        <w:rPr>
          <w:rStyle w:val="IvDbodytextChar"/>
        </w:rPr>
        <w:t>explicit acknowledgement</w:t>
      </w:r>
      <w:r w:rsidR="00262E32">
        <w:rPr>
          <w:rStyle w:val="IvDbodytextChar"/>
        </w:rPr>
        <w:t xml:space="preserve"> for the feedback reception. The procedure works as follows: </w:t>
      </w:r>
    </w:p>
    <w:p w14:paraId="4240E53B" w14:textId="6605D385" w:rsidR="00262E32" w:rsidRDefault="00262E32" w:rsidP="001A7386">
      <w:pPr>
        <w:pStyle w:val="IvDInstructiontext"/>
        <w:numPr>
          <w:ilvl w:val="1"/>
          <w:numId w:val="15"/>
        </w:numPr>
        <w:jc w:val="both"/>
        <w:rPr>
          <w:rStyle w:val="IvDbodytextChar"/>
          <w:i w:val="0"/>
          <w:color w:val="auto"/>
          <w:sz w:val="20"/>
          <w:szCs w:val="20"/>
        </w:rPr>
      </w:pPr>
      <w:r>
        <w:rPr>
          <w:rStyle w:val="IvDbodytextChar"/>
          <w:i w:val="0"/>
          <w:color w:val="auto"/>
          <w:sz w:val="20"/>
          <w:szCs w:val="20"/>
        </w:rPr>
        <w:t>Not toggle, the HARQ-ACK occasion(s) was not received, e.g. no PUCCH was received. The UE will automatically include the none received HARQ-ACK bits in the next reporting occasion on either PUSCH or PUCCH</w:t>
      </w:r>
      <w:r w:rsidR="003C0AF4">
        <w:rPr>
          <w:rStyle w:val="IvDbodytextChar"/>
          <w:i w:val="0"/>
          <w:color w:val="auto"/>
          <w:sz w:val="20"/>
          <w:szCs w:val="20"/>
        </w:rPr>
        <w:t>. In a way, the NFI bit acts as an explicit indication to trigger feedback retransmission within the next feedback occasion.</w:t>
      </w:r>
    </w:p>
    <w:p w14:paraId="3F4EC5A4" w14:textId="1993EAE5" w:rsidR="00C328E3" w:rsidRDefault="00262E32" w:rsidP="001A7386">
      <w:pPr>
        <w:pStyle w:val="IvDInstructiontext"/>
        <w:numPr>
          <w:ilvl w:val="1"/>
          <w:numId w:val="15"/>
        </w:numPr>
        <w:jc w:val="both"/>
        <w:rPr>
          <w:rStyle w:val="IvDbodytextChar"/>
          <w:i w:val="0"/>
          <w:color w:val="auto"/>
          <w:sz w:val="20"/>
          <w:szCs w:val="20"/>
        </w:rPr>
      </w:pPr>
      <w:r>
        <w:rPr>
          <w:rStyle w:val="IvDbodytextChar"/>
          <w:i w:val="0"/>
          <w:color w:val="auto"/>
          <w:sz w:val="20"/>
          <w:szCs w:val="20"/>
        </w:rPr>
        <w:t xml:space="preserve">Toggled. the HARQ-ACK occasion(s) was received by the </w:t>
      </w:r>
      <w:proofErr w:type="spellStart"/>
      <w:r>
        <w:rPr>
          <w:rStyle w:val="IvDbodytextChar"/>
          <w:i w:val="0"/>
          <w:color w:val="auto"/>
          <w:sz w:val="20"/>
          <w:szCs w:val="20"/>
        </w:rPr>
        <w:t>gNB</w:t>
      </w:r>
      <w:proofErr w:type="spellEnd"/>
      <w:r w:rsidR="00974086">
        <w:rPr>
          <w:rStyle w:val="IvDbodytextChar"/>
          <w:i w:val="0"/>
          <w:color w:val="auto"/>
          <w:sz w:val="20"/>
          <w:szCs w:val="20"/>
        </w:rPr>
        <w:t xml:space="preserve">. </w:t>
      </w:r>
      <w:r>
        <w:rPr>
          <w:rStyle w:val="IvDbodytextChar"/>
          <w:i w:val="0"/>
          <w:color w:val="auto"/>
          <w:sz w:val="20"/>
          <w:szCs w:val="20"/>
        </w:rPr>
        <w:t>The UE will not include the previous HARQ-ACK bits in the next HARQ-ACK reporting occasion.</w:t>
      </w:r>
    </w:p>
    <w:p w14:paraId="0616DF1F" w14:textId="5AA710B5" w:rsidR="00C328E3" w:rsidRDefault="00C328E3" w:rsidP="00C328E3">
      <w:pPr>
        <w:pStyle w:val="IvDInstructiontext"/>
        <w:keepNext/>
        <w:jc w:val="center"/>
      </w:pPr>
    </w:p>
    <w:p w14:paraId="0B691C2D" w14:textId="77777777" w:rsidR="008D250A" w:rsidRDefault="008D250A">
      <w:pPr>
        <w:pStyle w:val="IvDInstructiontext"/>
        <w:keepNext/>
        <w:jc w:val="center"/>
      </w:pPr>
      <w:r>
        <w:rPr>
          <w:noProof/>
        </w:rPr>
        <w:drawing>
          <wp:inline distT="0" distB="0" distL="0" distR="0" wp14:anchorId="10CFC067" wp14:editId="23E85564">
            <wp:extent cx="5365369" cy="1482366"/>
            <wp:effectExtent l="0" t="0" r="6985"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79444" cy="1486255"/>
                    </a:xfrm>
                    <a:prstGeom prst="rect">
                      <a:avLst/>
                    </a:prstGeom>
                    <a:noFill/>
                  </pic:spPr>
                </pic:pic>
              </a:graphicData>
            </a:graphic>
          </wp:inline>
        </w:drawing>
      </w:r>
    </w:p>
    <w:p w14:paraId="16E3D582" w14:textId="4055867A" w:rsidR="008D250A" w:rsidRDefault="008D250A" w:rsidP="00C33D2A">
      <w:pPr>
        <w:pStyle w:val="Caption"/>
        <w:jc w:val="center"/>
      </w:pPr>
      <w:r>
        <w:t xml:space="preserve">Figure </w:t>
      </w:r>
      <w:r w:rsidR="00DF6BA7">
        <w:rPr>
          <w:noProof/>
          <w:lang w:val="en-150"/>
        </w:rPr>
        <w:t>1</w:t>
      </w:r>
      <w:r>
        <w:rPr>
          <w:lang w:val="en-US"/>
        </w:rPr>
        <w:t>: Dynamic Codebook with NFI</w:t>
      </w:r>
    </w:p>
    <w:p w14:paraId="36253479" w14:textId="77777777" w:rsidR="00624F93" w:rsidRDefault="00624F93">
      <w:pPr>
        <w:pStyle w:val="IvDInstructiontext"/>
        <w:keepNext/>
        <w:jc w:val="center"/>
      </w:pPr>
      <w:r>
        <w:rPr>
          <w:noProof/>
        </w:rPr>
        <w:drawing>
          <wp:inline distT="0" distB="0" distL="0" distR="0" wp14:anchorId="6C176038" wp14:editId="63B9DF98">
            <wp:extent cx="5441315" cy="1566466"/>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57741" cy="1571195"/>
                    </a:xfrm>
                    <a:prstGeom prst="rect">
                      <a:avLst/>
                    </a:prstGeom>
                    <a:noFill/>
                  </pic:spPr>
                </pic:pic>
              </a:graphicData>
            </a:graphic>
          </wp:inline>
        </w:drawing>
      </w:r>
    </w:p>
    <w:p w14:paraId="4EEC481B" w14:textId="2C14C66C" w:rsidR="008D250A" w:rsidRDefault="00624F93" w:rsidP="00C33D2A">
      <w:pPr>
        <w:pStyle w:val="Caption"/>
        <w:jc w:val="center"/>
      </w:pPr>
      <w:r>
        <w:t xml:space="preserve">Figure </w:t>
      </w:r>
      <w:r w:rsidR="00DF6BA7">
        <w:rPr>
          <w:noProof/>
          <w:lang w:val="en-150"/>
        </w:rPr>
        <w:t>2</w:t>
      </w:r>
      <w:r>
        <w:rPr>
          <w:lang w:val="en-US"/>
        </w:rPr>
        <w:t>:</w:t>
      </w:r>
      <w:r w:rsidRPr="0054436A">
        <w:rPr>
          <w:lang w:val="en-US"/>
        </w:rPr>
        <w:t xml:space="preserve"> Dynamic Codebook with NFI</w:t>
      </w:r>
      <w:r>
        <w:rPr>
          <w:noProof/>
          <w:lang w:val="en-US"/>
        </w:rPr>
        <w:t xml:space="preserve"> in case of Failed PUCCH detection (due to PUCCH misdetection or failed PUCCH transmission due to failed LBT)</w:t>
      </w:r>
    </w:p>
    <w:p w14:paraId="6FF455F0" w14:textId="1105615B" w:rsidR="00624F93" w:rsidRDefault="00624F93" w:rsidP="00624F93">
      <w:pPr>
        <w:pStyle w:val="IvDInstructiontext"/>
        <w:jc w:val="both"/>
        <w:rPr>
          <w:rStyle w:val="IvDbodytextChar"/>
          <w:i w:val="0"/>
          <w:color w:val="auto"/>
          <w:sz w:val="20"/>
          <w:szCs w:val="20"/>
        </w:rPr>
      </w:pPr>
      <w:r>
        <w:rPr>
          <w:rStyle w:val="IvDbodytextChar"/>
          <w:i w:val="0"/>
          <w:color w:val="auto"/>
          <w:sz w:val="20"/>
          <w:szCs w:val="20"/>
        </w:rPr>
        <w:t xml:space="preserve">Figure </w:t>
      </w:r>
      <w:r w:rsidR="00DF6BA7">
        <w:rPr>
          <w:rStyle w:val="IvDbodytextChar"/>
          <w:i w:val="0"/>
          <w:color w:val="auto"/>
          <w:sz w:val="20"/>
          <w:szCs w:val="20"/>
          <w:lang w:val="en-150"/>
        </w:rPr>
        <w:t>1</w:t>
      </w:r>
      <w:r w:rsidR="00DF6BA7">
        <w:rPr>
          <w:rStyle w:val="IvDbodytextChar"/>
          <w:i w:val="0"/>
          <w:color w:val="auto"/>
          <w:sz w:val="20"/>
          <w:szCs w:val="20"/>
        </w:rPr>
        <w:t xml:space="preserve"> </w:t>
      </w:r>
      <w:r>
        <w:rPr>
          <w:rStyle w:val="IvDbodytextChar"/>
          <w:i w:val="0"/>
          <w:color w:val="auto"/>
          <w:sz w:val="20"/>
          <w:szCs w:val="20"/>
        </w:rPr>
        <w:t>and</w:t>
      </w:r>
      <w:r w:rsidR="00DF6BA7">
        <w:rPr>
          <w:rStyle w:val="IvDbodytextChar"/>
          <w:i w:val="0"/>
          <w:color w:val="auto"/>
          <w:sz w:val="20"/>
          <w:szCs w:val="20"/>
          <w:lang w:val="en-150"/>
        </w:rPr>
        <w:t xml:space="preserve"> 2</w:t>
      </w:r>
      <w:r>
        <w:rPr>
          <w:rStyle w:val="IvDbodytextChar"/>
          <w:i w:val="0"/>
          <w:color w:val="auto"/>
          <w:sz w:val="20"/>
          <w:szCs w:val="20"/>
        </w:rPr>
        <w:t xml:space="preserve"> is an example to highlight how the introduction of NFI bit helps the UE figure out that the last PUCCH transmission was not received by the </w:t>
      </w:r>
      <w:proofErr w:type="spellStart"/>
      <w:r>
        <w:rPr>
          <w:rStyle w:val="IvDbodytextChar"/>
          <w:i w:val="0"/>
          <w:color w:val="auto"/>
          <w:sz w:val="20"/>
          <w:szCs w:val="20"/>
        </w:rPr>
        <w:t>gNB</w:t>
      </w:r>
      <w:proofErr w:type="spellEnd"/>
      <w:r>
        <w:rPr>
          <w:rStyle w:val="IvDbodytextChar"/>
          <w:i w:val="0"/>
          <w:color w:val="auto"/>
          <w:sz w:val="20"/>
          <w:szCs w:val="20"/>
        </w:rPr>
        <w:t xml:space="preserve"> and therefore, explicitly indicating to the UE to retransmit the earlier feedback in the next PUCCH occasion.</w:t>
      </w:r>
    </w:p>
    <w:p w14:paraId="125803B4" w14:textId="104CEBF4" w:rsidR="00624F93" w:rsidRPr="00C33D2A" w:rsidRDefault="00624F93" w:rsidP="00C33D2A">
      <w:pPr>
        <w:pStyle w:val="IvDInstructiontext"/>
        <w:jc w:val="both"/>
        <w:rPr>
          <w:rStyle w:val="IvDbodytextChar"/>
          <w:color w:val="auto"/>
          <w:sz w:val="20"/>
          <w:szCs w:val="20"/>
        </w:rPr>
      </w:pPr>
      <w:r w:rsidRPr="00C33D2A">
        <w:rPr>
          <w:rStyle w:val="IvDbodytextChar"/>
          <w:i w:val="0"/>
          <w:color w:val="auto"/>
          <w:sz w:val="20"/>
          <w:szCs w:val="20"/>
        </w:rPr>
        <w:t>In addition to the NFI field in DCI, NR-</w:t>
      </w:r>
      <w:r>
        <w:rPr>
          <w:rStyle w:val="IvDbodytextChar"/>
          <w:i w:val="0"/>
          <w:color w:val="auto"/>
          <w:sz w:val="20"/>
          <w:szCs w:val="20"/>
        </w:rPr>
        <w:t>U</w:t>
      </w:r>
      <w:r w:rsidRPr="00C33D2A">
        <w:rPr>
          <w:rStyle w:val="IvDbodytextChar"/>
          <w:i w:val="0"/>
          <w:color w:val="auto"/>
          <w:sz w:val="20"/>
          <w:szCs w:val="20"/>
        </w:rPr>
        <w:t xml:space="preserve"> can possibly consider indicating a reserved value for PDSCH-to-HARQ-timing-indicator. The actual transmission time of the HARQ feedback is determined by first subsequent DL scheduling DCI with a valid value for PDSCH-to-HARQ-timing-indicator.</w:t>
      </w:r>
      <w:r>
        <w:rPr>
          <w:rStyle w:val="IvDbodytextChar"/>
          <w:i w:val="0"/>
          <w:color w:val="auto"/>
          <w:sz w:val="20"/>
          <w:szCs w:val="20"/>
        </w:rPr>
        <w:t xml:space="preserve"> Figure </w:t>
      </w:r>
      <w:r w:rsidR="00DF6BA7">
        <w:rPr>
          <w:rStyle w:val="IvDbodytextChar"/>
          <w:i w:val="0"/>
          <w:color w:val="auto"/>
          <w:sz w:val="20"/>
          <w:szCs w:val="20"/>
          <w:lang w:val="en-150"/>
        </w:rPr>
        <w:t>3</w:t>
      </w:r>
      <w:r w:rsidR="00DF6BA7">
        <w:rPr>
          <w:rStyle w:val="IvDbodytextChar"/>
          <w:i w:val="0"/>
          <w:color w:val="auto"/>
          <w:sz w:val="20"/>
          <w:szCs w:val="20"/>
        </w:rPr>
        <w:t xml:space="preserve"> </w:t>
      </w:r>
      <w:r w:rsidR="002F73FA">
        <w:rPr>
          <w:rStyle w:val="IvDbodytextChar"/>
          <w:i w:val="0"/>
          <w:color w:val="auto"/>
          <w:sz w:val="20"/>
          <w:szCs w:val="20"/>
        </w:rPr>
        <w:t xml:space="preserve">shows an example. Where the UE sets the </w:t>
      </w:r>
      <w:r w:rsidR="002F73FA" w:rsidRPr="00B21AB1">
        <w:rPr>
          <w:rStyle w:val="IvDbodytextChar"/>
          <w:i w:val="0"/>
          <w:color w:val="auto"/>
          <w:sz w:val="20"/>
          <w:szCs w:val="20"/>
        </w:rPr>
        <w:t>PDSCH-to-HARQ-timing-indicator</w:t>
      </w:r>
      <w:r w:rsidR="002F73FA">
        <w:rPr>
          <w:rStyle w:val="IvDbodytextChar"/>
          <w:i w:val="0"/>
          <w:color w:val="auto"/>
          <w:sz w:val="20"/>
          <w:szCs w:val="20"/>
        </w:rPr>
        <w:t xml:space="preserve"> of the 3</w:t>
      </w:r>
      <w:r w:rsidR="002F73FA" w:rsidRPr="00C33D2A">
        <w:rPr>
          <w:rStyle w:val="IvDbodytextChar"/>
          <w:i w:val="0"/>
          <w:color w:val="auto"/>
          <w:sz w:val="20"/>
          <w:szCs w:val="20"/>
          <w:vertAlign w:val="superscript"/>
        </w:rPr>
        <w:t>rd</w:t>
      </w:r>
      <w:r w:rsidR="002F73FA">
        <w:rPr>
          <w:rStyle w:val="IvDbodytextChar"/>
          <w:i w:val="0"/>
          <w:color w:val="auto"/>
          <w:sz w:val="20"/>
          <w:szCs w:val="20"/>
        </w:rPr>
        <w:t xml:space="preserve"> PDSCH transmission only after the reception of the next PDCCH.  </w:t>
      </w:r>
    </w:p>
    <w:p w14:paraId="42B7640E" w14:textId="77777777" w:rsidR="002F6ACE" w:rsidRDefault="00624F93">
      <w:pPr>
        <w:pStyle w:val="IvDInstructiontext"/>
        <w:keepNext/>
        <w:jc w:val="center"/>
      </w:pPr>
      <w:r>
        <w:rPr>
          <w:noProof/>
        </w:rPr>
        <w:drawing>
          <wp:inline distT="0" distB="0" distL="0" distR="0" wp14:anchorId="21B49ACD" wp14:editId="6FC7E364">
            <wp:extent cx="5743651" cy="15831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9792" cy="1590345"/>
                    </a:xfrm>
                    <a:prstGeom prst="rect">
                      <a:avLst/>
                    </a:prstGeom>
                    <a:noFill/>
                  </pic:spPr>
                </pic:pic>
              </a:graphicData>
            </a:graphic>
          </wp:inline>
        </w:drawing>
      </w:r>
    </w:p>
    <w:p w14:paraId="08A215C3" w14:textId="7204B82B" w:rsidR="008D250A" w:rsidRDefault="002F6ACE" w:rsidP="00C33D2A">
      <w:pPr>
        <w:pStyle w:val="Caption"/>
        <w:jc w:val="center"/>
      </w:pPr>
      <w:r>
        <w:t xml:space="preserve">Figure </w:t>
      </w:r>
      <w:r w:rsidR="00DF6BA7">
        <w:rPr>
          <w:noProof/>
          <w:lang w:val="en-150"/>
        </w:rPr>
        <w:t>3</w:t>
      </w:r>
      <w:r>
        <w:rPr>
          <w:lang w:val="en-US"/>
        </w:rPr>
        <w:t xml:space="preserve">: </w:t>
      </w:r>
      <w:r w:rsidRPr="001E534D">
        <w:rPr>
          <w:lang w:val="en-US"/>
        </w:rPr>
        <w:t xml:space="preserve">Dynamic Codebook with NFI </w:t>
      </w:r>
      <w:r>
        <w:rPr>
          <w:noProof/>
          <w:lang w:val="en-US"/>
        </w:rPr>
        <w:t>+ disabling PDSCH-to-HARQ-timing indicator</w:t>
      </w:r>
    </w:p>
    <w:p w14:paraId="0B7929AF" w14:textId="77777777" w:rsidR="00262E32" w:rsidRDefault="00262E32" w:rsidP="0046247E">
      <w:pPr>
        <w:pStyle w:val="BodyText"/>
        <w:rPr>
          <w:rStyle w:val="IvDbodytextChar"/>
        </w:rPr>
      </w:pPr>
    </w:p>
    <w:p w14:paraId="5B47414B" w14:textId="77777777" w:rsidR="00974086" w:rsidRDefault="009461E1" w:rsidP="00974086">
      <w:pPr>
        <w:pStyle w:val="Proposal"/>
        <w:tabs>
          <w:tab w:val="clear" w:pos="1304"/>
        </w:tabs>
        <w:ind w:left="1701" w:hanging="1701"/>
      </w:pPr>
      <w:bookmarkStart w:id="7" w:name="_Toc535015254"/>
      <w:r w:rsidRPr="009461E1">
        <w:t xml:space="preserve">Introduce a toggle bit (NFI) in a DCI to indicate whether the expected HARQ-ACK feedback(s) from the UE was correctly received by the </w:t>
      </w:r>
      <w:proofErr w:type="spellStart"/>
      <w:r w:rsidRPr="009461E1">
        <w:t>gNB</w:t>
      </w:r>
      <w:proofErr w:type="spellEnd"/>
      <w:r w:rsidRPr="009461E1">
        <w:t xml:space="preserve"> or not</w:t>
      </w:r>
      <w:r w:rsidR="00974086">
        <w:t>.</w:t>
      </w:r>
      <w:bookmarkEnd w:id="7"/>
    </w:p>
    <w:p w14:paraId="63B1E19C" w14:textId="44F0E71F" w:rsidR="00974086" w:rsidRPr="00974086" w:rsidRDefault="00974086" w:rsidP="001A7386">
      <w:pPr>
        <w:pStyle w:val="Proposal"/>
        <w:numPr>
          <w:ilvl w:val="1"/>
          <w:numId w:val="2"/>
        </w:numPr>
        <w:rPr>
          <w:rStyle w:val="IvDbodytextChar"/>
          <w:spacing w:val="0"/>
          <w:lang w:val="en-GB" w:eastAsia="zh-CN"/>
        </w:rPr>
      </w:pPr>
      <w:bookmarkStart w:id="8" w:name="_Toc535015255"/>
      <w:r w:rsidRPr="00974086">
        <w:rPr>
          <w:rStyle w:val="IvDbodytextChar"/>
        </w:rPr>
        <w:t>Not toggle</w:t>
      </w:r>
      <w:r w:rsidR="00802495">
        <w:rPr>
          <w:rStyle w:val="IvDbodytextChar"/>
        </w:rPr>
        <w:t xml:space="preserve">: </w:t>
      </w:r>
      <w:r w:rsidRPr="00974086">
        <w:rPr>
          <w:rStyle w:val="IvDbodytextChar"/>
        </w:rPr>
        <w:t xml:space="preserve">the HARQ-ACK occasion(s) </w:t>
      </w:r>
      <w:r>
        <w:rPr>
          <w:rStyle w:val="IvDbodytextChar"/>
        </w:rPr>
        <w:t xml:space="preserve">since the bit was last toggled </w:t>
      </w:r>
      <w:r w:rsidRPr="00974086">
        <w:rPr>
          <w:rStyle w:val="IvDbodytextChar"/>
        </w:rPr>
        <w:t>was not received. The UE will automatically include the none received HARQ-ACK bits in the next reporting occasion</w:t>
      </w:r>
      <w:bookmarkEnd w:id="8"/>
    </w:p>
    <w:p w14:paraId="5F9AAF74" w14:textId="5F85C724" w:rsidR="00974086" w:rsidRPr="00974086" w:rsidRDefault="00974086" w:rsidP="001A7386">
      <w:pPr>
        <w:pStyle w:val="Proposal"/>
        <w:numPr>
          <w:ilvl w:val="1"/>
          <w:numId w:val="2"/>
        </w:numPr>
        <w:rPr>
          <w:rStyle w:val="IvDbodytextChar"/>
          <w:spacing w:val="0"/>
          <w:lang w:val="en-GB" w:eastAsia="zh-CN"/>
        </w:rPr>
      </w:pPr>
      <w:bookmarkStart w:id="9" w:name="_Toc535015256"/>
      <w:r w:rsidRPr="00974086">
        <w:rPr>
          <w:rStyle w:val="IvDbodytextChar"/>
        </w:rPr>
        <w:lastRenderedPageBreak/>
        <w:t>Toggled</w:t>
      </w:r>
      <w:r w:rsidR="00802495">
        <w:rPr>
          <w:rStyle w:val="IvDbodytextChar"/>
        </w:rPr>
        <w:t>:</w:t>
      </w:r>
      <w:r w:rsidRPr="00974086">
        <w:rPr>
          <w:rStyle w:val="IvDbodytextChar"/>
        </w:rPr>
        <w:t xml:space="preserve"> </w:t>
      </w:r>
      <w:r w:rsidR="00802495">
        <w:rPr>
          <w:rStyle w:val="IvDbodytextChar"/>
        </w:rPr>
        <w:t>t</w:t>
      </w:r>
      <w:r w:rsidRPr="00974086">
        <w:rPr>
          <w:rStyle w:val="IvDbodytextChar"/>
        </w:rPr>
        <w:t xml:space="preserve">he HARQ-ACK occasion(s) </w:t>
      </w:r>
      <w:r>
        <w:rPr>
          <w:rStyle w:val="IvDbodytextChar"/>
        </w:rPr>
        <w:t xml:space="preserve">since the bit was last toggled </w:t>
      </w:r>
      <w:r w:rsidRPr="00974086">
        <w:rPr>
          <w:rStyle w:val="IvDbodytextChar"/>
        </w:rPr>
        <w:t xml:space="preserve">was received by the </w:t>
      </w:r>
      <w:proofErr w:type="spellStart"/>
      <w:r w:rsidRPr="00974086">
        <w:rPr>
          <w:rStyle w:val="IvDbodytextChar"/>
        </w:rPr>
        <w:t>gNB</w:t>
      </w:r>
      <w:bookmarkEnd w:id="9"/>
      <w:proofErr w:type="spellEnd"/>
    </w:p>
    <w:p w14:paraId="2A7F81F8" w14:textId="16FB03E8" w:rsidR="001C6089" w:rsidRDefault="001C6089" w:rsidP="002A7A8E">
      <w:pPr>
        <w:pStyle w:val="BodyText"/>
        <w:pBdr>
          <w:bottom w:val="single" w:sz="6" w:space="1" w:color="auto"/>
        </w:pBdr>
      </w:pPr>
    </w:p>
    <w:p w14:paraId="408A6D83" w14:textId="007CB48A" w:rsidR="002A7A8E" w:rsidRDefault="002A7A8E" w:rsidP="002A7A8E">
      <w:pPr>
        <w:pStyle w:val="Heading2"/>
      </w:pPr>
      <w:r>
        <w:t>2.</w:t>
      </w:r>
      <w:r w:rsidR="00BE135D">
        <w:t>3</w:t>
      </w:r>
      <w:r>
        <w:tab/>
      </w:r>
      <w:r>
        <w:tab/>
        <w:t>Multi TTI scheduling</w:t>
      </w:r>
    </w:p>
    <w:p w14:paraId="4DC4753A" w14:textId="4D142543" w:rsidR="00A479A6" w:rsidRDefault="00A479A6" w:rsidP="002A7A8E">
      <w:pPr>
        <w:spacing w:line="259" w:lineRule="auto"/>
        <w:rPr>
          <w:rFonts w:asciiTheme="minorBidi" w:hAnsiTheme="minorBidi" w:cstheme="minorBidi"/>
        </w:rPr>
      </w:pPr>
      <w:r>
        <w:rPr>
          <w:rFonts w:asciiTheme="minorBidi" w:hAnsiTheme="minorBidi" w:cstheme="minorBidi"/>
        </w:rPr>
        <w:t>During the SI phase, it was agreed that</w:t>
      </w:r>
    </w:p>
    <w:p w14:paraId="58A088E6" w14:textId="77777777" w:rsidR="00A479A6" w:rsidRPr="002A7A8E" w:rsidDel="00A479A6" w:rsidRDefault="00A479A6" w:rsidP="00A479A6">
      <w:pPr>
        <w:pStyle w:val="ListParagraph"/>
        <w:numPr>
          <w:ilvl w:val="0"/>
          <w:numId w:val="16"/>
        </w:numPr>
        <w:overflowPunct/>
        <w:autoSpaceDE/>
        <w:autoSpaceDN/>
        <w:adjustRightInd/>
        <w:spacing w:line="259" w:lineRule="auto"/>
        <w:contextualSpacing/>
        <w:textAlignment w:val="auto"/>
        <w:rPr>
          <w:rFonts w:asciiTheme="minorBidi" w:hAnsiTheme="minorBidi" w:cstheme="minorBidi"/>
          <w:sz w:val="20"/>
          <w:szCs w:val="20"/>
        </w:rPr>
      </w:pPr>
      <w:r w:rsidRPr="002A7A8E" w:rsidDel="00A479A6">
        <w:rPr>
          <w:rFonts w:asciiTheme="minorBidi" w:hAnsiTheme="minorBidi" w:cstheme="minorBidi"/>
          <w:sz w:val="20"/>
          <w:szCs w:val="20"/>
        </w:rPr>
        <w:t xml:space="preserve">Scheduling multiple TTIs for PUSCH each using a separate UL grant in the same PDCCH monitoring occasion is identified as beneficial </w:t>
      </w:r>
    </w:p>
    <w:p w14:paraId="21B0B7BF" w14:textId="77777777" w:rsidR="00A479A6" w:rsidDel="00A479A6" w:rsidRDefault="00A479A6" w:rsidP="00A479A6">
      <w:pPr>
        <w:pStyle w:val="ListParagraph"/>
        <w:numPr>
          <w:ilvl w:val="0"/>
          <w:numId w:val="16"/>
        </w:numPr>
        <w:overflowPunct/>
        <w:autoSpaceDE/>
        <w:autoSpaceDN/>
        <w:adjustRightInd/>
        <w:spacing w:line="259" w:lineRule="auto"/>
        <w:contextualSpacing/>
        <w:textAlignment w:val="auto"/>
        <w:rPr>
          <w:rFonts w:asciiTheme="minorBidi" w:hAnsiTheme="minorBidi" w:cstheme="minorBidi"/>
          <w:sz w:val="20"/>
          <w:szCs w:val="20"/>
        </w:rPr>
      </w:pPr>
      <w:r w:rsidRPr="002A7A8E" w:rsidDel="00A479A6">
        <w:rPr>
          <w:rFonts w:asciiTheme="minorBidi" w:hAnsiTheme="minorBidi" w:cstheme="minorBidi"/>
          <w:sz w:val="20"/>
          <w:szCs w:val="20"/>
        </w:rPr>
        <w:t>Scheduling multiple TTIs for PUSCH using a single UL grant is identified as beneficial and should be supported in NR-U</w:t>
      </w:r>
    </w:p>
    <w:p w14:paraId="043718EB" w14:textId="52F9D45E" w:rsidR="00B30D2B" w:rsidRDefault="00B30D2B" w:rsidP="00B30D2B">
      <w:pPr>
        <w:pStyle w:val="ListParagraph"/>
        <w:overflowPunct/>
        <w:autoSpaceDE/>
        <w:autoSpaceDN/>
        <w:adjustRightInd/>
        <w:spacing w:line="259" w:lineRule="auto"/>
        <w:contextualSpacing/>
        <w:textAlignment w:val="auto"/>
        <w:rPr>
          <w:rFonts w:asciiTheme="minorBidi" w:hAnsiTheme="minorBidi" w:cstheme="minorBidi"/>
          <w:sz w:val="20"/>
          <w:szCs w:val="20"/>
        </w:rPr>
      </w:pPr>
    </w:p>
    <w:p w14:paraId="6981957B" w14:textId="75CF3036" w:rsidR="00C61BB4" w:rsidRPr="00DF6BA7" w:rsidRDefault="00A479A6" w:rsidP="00C61BB4">
      <w:pPr>
        <w:pStyle w:val="BodyText"/>
        <w:rPr>
          <w:rFonts w:asciiTheme="minorBidi" w:hAnsiTheme="minorBidi" w:cstheme="minorBidi"/>
          <w:lang w:val="en-150"/>
        </w:rPr>
      </w:pPr>
      <w:r>
        <w:rPr>
          <w:rFonts w:asciiTheme="minorBidi" w:hAnsiTheme="minorBidi" w:cstheme="minorBidi"/>
          <w:lang w:val="en-US"/>
        </w:rPr>
        <w:t xml:space="preserve">The previous agreement on multiple TTIs implies that </w:t>
      </w:r>
      <w:r w:rsidR="00C61BB4" w:rsidRPr="00C61BB4">
        <w:rPr>
          <w:rFonts w:asciiTheme="minorBidi" w:hAnsiTheme="minorBidi" w:cstheme="minorBidi"/>
          <w:lang w:val="en-US"/>
        </w:rPr>
        <w:t>NR-U should at least support scheduling multiple TBs with different HARQ process IDs in multiple slots using a single UL grant</w:t>
      </w:r>
      <w:r w:rsidR="00DF6BA7">
        <w:rPr>
          <w:rFonts w:asciiTheme="minorBidi" w:hAnsiTheme="minorBidi" w:cstheme="minorBidi"/>
          <w:lang w:val="en-150"/>
        </w:rPr>
        <w:t>.</w:t>
      </w:r>
    </w:p>
    <w:p w14:paraId="66CF0E9A" w14:textId="72E944A9" w:rsidR="00C725D8" w:rsidRDefault="008D6499" w:rsidP="00B30D2B">
      <w:pPr>
        <w:pStyle w:val="BodyText"/>
        <w:rPr>
          <w:rFonts w:asciiTheme="minorBidi" w:hAnsiTheme="minorBidi" w:cstheme="minorBidi"/>
        </w:rPr>
      </w:pPr>
      <w:r>
        <w:rPr>
          <w:rFonts w:asciiTheme="minorBidi" w:hAnsiTheme="minorBidi" w:cstheme="minorBidi"/>
          <w:lang w:val="en-150"/>
        </w:rPr>
        <w:t>Two</w:t>
      </w:r>
      <w:r w:rsidR="00B30D2B" w:rsidRPr="00322A5B">
        <w:rPr>
          <w:rFonts w:asciiTheme="minorBidi" w:hAnsiTheme="minorBidi" w:cstheme="minorBidi"/>
        </w:rPr>
        <w:t xml:space="preserve"> options for multi-TTI scheduling</w:t>
      </w:r>
      <w:r w:rsidR="002950C5">
        <w:rPr>
          <w:rFonts w:asciiTheme="minorBidi" w:hAnsiTheme="minorBidi" w:cstheme="minorBidi"/>
        </w:rPr>
        <w:t xml:space="preserve"> were considered</w:t>
      </w:r>
      <w:r w:rsidR="00B30D2B" w:rsidRPr="00322A5B">
        <w:rPr>
          <w:rFonts w:asciiTheme="minorBidi" w:hAnsiTheme="minorBidi" w:cstheme="minorBidi"/>
        </w:rPr>
        <w:t xml:space="preserve">: (1) one TB per TTI, </w:t>
      </w:r>
      <w:r w:rsidR="002950C5" w:rsidRPr="00322A5B">
        <w:rPr>
          <w:rFonts w:asciiTheme="minorBidi" w:hAnsiTheme="minorBidi" w:cstheme="minorBidi"/>
        </w:rPr>
        <w:t>like</w:t>
      </w:r>
      <w:r w:rsidR="00B30D2B" w:rsidRPr="00322A5B">
        <w:rPr>
          <w:rFonts w:asciiTheme="minorBidi" w:hAnsiTheme="minorBidi" w:cstheme="minorBidi"/>
        </w:rPr>
        <w:t xml:space="preserve"> what was done in rel-14 multi-subframe scheduling for LAA, or (2) one TB across multiple TTI. The lat</w:t>
      </w:r>
      <w:r w:rsidR="002950C5">
        <w:rPr>
          <w:rFonts w:asciiTheme="minorBidi" w:hAnsiTheme="minorBidi" w:cstheme="minorBidi"/>
        </w:rPr>
        <w:t>t</w:t>
      </w:r>
      <w:r w:rsidR="00B30D2B" w:rsidRPr="00322A5B">
        <w:rPr>
          <w:rFonts w:asciiTheme="minorBidi" w:hAnsiTheme="minorBidi" w:cstheme="minorBidi"/>
        </w:rPr>
        <w:t>er requires</w:t>
      </w:r>
      <w:r w:rsidR="00B30D2B">
        <w:rPr>
          <w:rFonts w:asciiTheme="minorBidi" w:hAnsiTheme="minorBidi" w:cstheme="minorBidi"/>
        </w:rPr>
        <w:t xml:space="preserve"> more changes to NR specifications, without strong motivation for that. With larger subcarrier spacing, it is easier to exhaust all the 16 HARQ for one UE within less than a MCOT duration. However, this is only true with 60KHz subcarrier spacing. Also, it would be a limiting factor if only one UE has data to transmit/receive. Otherwise, the </w:t>
      </w:r>
      <w:proofErr w:type="spellStart"/>
      <w:r w:rsidR="00B30D2B">
        <w:rPr>
          <w:rFonts w:asciiTheme="minorBidi" w:hAnsiTheme="minorBidi" w:cstheme="minorBidi"/>
        </w:rPr>
        <w:t>gNB</w:t>
      </w:r>
      <w:proofErr w:type="spellEnd"/>
      <w:r w:rsidR="00B30D2B">
        <w:rPr>
          <w:rFonts w:asciiTheme="minorBidi" w:hAnsiTheme="minorBidi" w:cstheme="minorBidi"/>
        </w:rPr>
        <w:t xml:space="preserve"> can always time multiplex transmissions to/from different UEs within the same COT. </w:t>
      </w:r>
    </w:p>
    <w:p w14:paraId="64CE2428" w14:textId="7A939E6D" w:rsidR="0064674A" w:rsidRPr="00AB2AF0" w:rsidRDefault="00387317" w:rsidP="00DF6BA7">
      <w:pPr>
        <w:pStyle w:val="CommentText"/>
        <w:jc w:val="both"/>
        <w:rPr>
          <w:rFonts w:asciiTheme="minorBidi" w:hAnsiTheme="minorBidi" w:cstheme="minorBidi"/>
          <w:lang w:eastAsia="zh-CN"/>
        </w:rPr>
      </w:pPr>
      <w:r w:rsidRPr="00AB2AF0">
        <w:rPr>
          <w:rFonts w:asciiTheme="minorBidi" w:hAnsiTheme="minorBidi" w:cstheme="minorBidi"/>
          <w:lang w:eastAsia="zh-CN"/>
        </w:rPr>
        <w:t xml:space="preserve">It has been claimed that </w:t>
      </w:r>
      <w:r w:rsidR="00C065FF" w:rsidRPr="00AB2AF0">
        <w:rPr>
          <w:rFonts w:asciiTheme="minorBidi" w:hAnsiTheme="minorBidi" w:cstheme="minorBidi"/>
          <w:lang w:eastAsia="zh-CN"/>
        </w:rPr>
        <w:t xml:space="preserve">single TB across multiple TTIs can </w:t>
      </w:r>
      <w:r w:rsidR="001E7D90" w:rsidRPr="00AB2AF0">
        <w:rPr>
          <w:rFonts w:asciiTheme="minorBidi" w:hAnsiTheme="minorBidi" w:cstheme="minorBidi"/>
          <w:lang w:eastAsia="zh-CN"/>
        </w:rPr>
        <w:t xml:space="preserve">reduce overhead since single HARQ-ACK bit is needed for multiple </w:t>
      </w:r>
      <w:r w:rsidR="00864D0D" w:rsidRPr="00AB2AF0">
        <w:rPr>
          <w:rFonts w:asciiTheme="minorBidi" w:hAnsiTheme="minorBidi" w:cstheme="minorBidi"/>
          <w:lang w:eastAsia="zh-CN"/>
        </w:rPr>
        <w:t xml:space="preserve">TTIs. If so, it means </w:t>
      </w:r>
      <w:r w:rsidR="00644A83" w:rsidRPr="00AB2AF0">
        <w:rPr>
          <w:rFonts w:asciiTheme="minorBidi" w:hAnsiTheme="minorBidi" w:cstheme="minorBidi"/>
          <w:lang w:eastAsia="zh-CN"/>
        </w:rPr>
        <w:t>if single TTI is highly interfered</w:t>
      </w:r>
      <w:r w:rsidR="00C30FB8">
        <w:rPr>
          <w:rFonts w:asciiTheme="minorBidi" w:hAnsiTheme="minorBidi" w:cstheme="minorBidi"/>
          <w:lang w:eastAsia="zh-CN"/>
        </w:rPr>
        <w:t xml:space="preserve">, </w:t>
      </w:r>
      <w:r w:rsidR="00644A83" w:rsidRPr="00AB2AF0">
        <w:rPr>
          <w:rFonts w:asciiTheme="minorBidi" w:hAnsiTheme="minorBidi" w:cstheme="minorBidi"/>
          <w:lang w:eastAsia="zh-CN"/>
        </w:rPr>
        <w:t xml:space="preserve">which </w:t>
      </w:r>
      <w:r w:rsidR="00C30FB8">
        <w:rPr>
          <w:rFonts w:asciiTheme="minorBidi" w:hAnsiTheme="minorBidi" w:cstheme="minorBidi"/>
          <w:lang w:eastAsia="zh-CN"/>
        </w:rPr>
        <w:t xml:space="preserve">can be </w:t>
      </w:r>
      <w:r w:rsidR="00644A83" w:rsidRPr="00AB2AF0">
        <w:rPr>
          <w:rFonts w:asciiTheme="minorBidi" w:hAnsiTheme="minorBidi" w:cstheme="minorBidi"/>
          <w:lang w:eastAsia="zh-CN"/>
        </w:rPr>
        <w:t xml:space="preserve">the case </w:t>
      </w:r>
      <w:r w:rsidR="00DB69BA" w:rsidRPr="00AB2AF0">
        <w:rPr>
          <w:rFonts w:asciiTheme="minorBidi" w:hAnsiTheme="minorBidi" w:cstheme="minorBidi"/>
          <w:lang w:eastAsia="zh-CN"/>
        </w:rPr>
        <w:t xml:space="preserve">in case of collision at the beginning of the COT, the whole TB </w:t>
      </w:r>
      <w:r w:rsidR="00EE70F5" w:rsidRPr="00AB2AF0">
        <w:rPr>
          <w:rFonts w:asciiTheme="minorBidi" w:hAnsiTheme="minorBidi" w:cstheme="minorBidi"/>
          <w:lang w:eastAsia="zh-CN"/>
        </w:rPr>
        <w:t>reception will fail</w:t>
      </w:r>
      <w:r w:rsidR="00E235BD" w:rsidRPr="00AB2AF0">
        <w:rPr>
          <w:rFonts w:asciiTheme="minorBidi" w:hAnsiTheme="minorBidi" w:cstheme="minorBidi"/>
          <w:lang w:eastAsia="zh-CN"/>
        </w:rPr>
        <w:t xml:space="preserve">. This will require retransmission of the whole </w:t>
      </w:r>
      <w:r w:rsidR="00CF1053">
        <w:rPr>
          <w:rFonts w:asciiTheme="minorBidi" w:hAnsiTheme="minorBidi" w:cstheme="minorBidi"/>
          <w:lang w:eastAsia="zh-CN"/>
        </w:rPr>
        <w:t xml:space="preserve">large </w:t>
      </w:r>
      <w:r w:rsidR="00E235BD" w:rsidRPr="00AB2AF0">
        <w:rPr>
          <w:rFonts w:asciiTheme="minorBidi" w:hAnsiTheme="minorBidi" w:cstheme="minorBidi"/>
          <w:lang w:eastAsia="zh-CN"/>
        </w:rPr>
        <w:t>TB</w:t>
      </w:r>
      <w:r w:rsidR="001C3B10" w:rsidRPr="00AB2AF0">
        <w:rPr>
          <w:rFonts w:asciiTheme="minorBidi" w:hAnsiTheme="minorBidi" w:cstheme="minorBidi"/>
          <w:lang w:eastAsia="zh-CN"/>
        </w:rPr>
        <w:t xml:space="preserve"> which induce</w:t>
      </w:r>
      <w:r w:rsidR="00CF1053">
        <w:rPr>
          <w:rFonts w:asciiTheme="minorBidi" w:hAnsiTheme="minorBidi" w:cstheme="minorBidi"/>
          <w:lang w:eastAsia="zh-CN"/>
        </w:rPr>
        <w:t>s</w:t>
      </w:r>
      <w:r w:rsidR="001C3B10" w:rsidRPr="00AB2AF0">
        <w:rPr>
          <w:rFonts w:asciiTheme="minorBidi" w:hAnsiTheme="minorBidi" w:cstheme="minorBidi"/>
          <w:lang w:eastAsia="zh-CN"/>
        </w:rPr>
        <w:t xml:space="preserve"> much more overhead as compared to one TB per TTI.</w:t>
      </w:r>
      <w:r w:rsidR="00643B8A">
        <w:rPr>
          <w:rFonts w:asciiTheme="minorBidi" w:hAnsiTheme="minorBidi" w:cstheme="minorBidi"/>
          <w:lang w:eastAsia="zh-CN"/>
        </w:rPr>
        <w:t xml:space="preserve"> Alternatively, s</w:t>
      </w:r>
      <w:r w:rsidR="00C04E83" w:rsidRPr="00AB2AF0">
        <w:rPr>
          <w:rFonts w:asciiTheme="minorBidi" w:hAnsiTheme="minorBidi" w:cstheme="minorBidi"/>
          <w:lang w:eastAsia="zh-CN"/>
        </w:rPr>
        <w:t>cheduling o</w:t>
      </w:r>
      <w:r w:rsidR="00AA3649" w:rsidRPr="00AB2AF0">
        <w:rPr>
          <w:rFonts w:asciiTheme="minorBidi" w:hAnsiTheme="minorBidi" w:cstheme="minorBidi"/>
          <w:lang w:eastAsia="zh-CN"/>
        </w:rPr>
        <w:t>ne TB a</w:t>
      </w:r>
      <w:r w:rsidR="00C04E83" w:rsidRPr="00AB2AF0">
        <w:rPr>
          <w:rFonts w:asciiTheme="minorBidi" w:hAnsiTheme="minorBidi" w:cstheme="minorBidi"/>
          <w:lang w:eastAsia="zh-CN"/>
        </w:rPr>
        <w:t>cro</w:t>
      </w:r>
      <w:r w:rsidR="00AA3649" w:rsidRPr="00AB2AF0">
        <w:rPr>
          <w:rFonts w:asciiTheme="minorBidi" w:hAnsiTheme="minorBidi" w:cstheme="minorBidi"/>
          <w:lang w:eastAsia="zh-CN"/>
        </w:rPr>
        <w:t>ss multiple TTI</w:t>
      </w:r>
      <w:r w:rsidR="001C50AA" w:rsidRPr="00AB2AF0">
        <w:rPr>
          <w:rFonts w:asciiTheme="minorBidi" w:hAnsiTheme="minorBidi" w:cstheme="minorBidi"/>
          <w:lang w:eastAsia="zh-CN"/>
        </w:rPr>
        <w:t xml:space="preserve"> </w:t>
      </w:r>
      <w:r w:rsidR="00643B8A">
        <w:rPr>
          <w:rFonts w:asciiTheme="minorBidi" w:hAnsiTheme="minorBidi" w:cstheme="minorBidi"/>
          <w:lang w:eastAsia="zh-CN"/>
        </w:rPr>
        <w:t>is used together with</w:t>
      </w:r>
      <w:r w:rsidR="00C04E83" w:rsidRPr="00AB2AF0">
        <w:rPr>
          <w:rFonts w:asciiTheme="minorBidi" w:hAnsiTheme="minorBidi" w:cstheme="minorBidi"/>
          <w:lang w:eastAsia="zh-CN"/>
        </w:rPr>
        <w:t xml:space="preserve"> CBG based HARQ-feedback.</w:t>
      </w:r>
      <w:r w:rsidR="003709C7" w:rsidRPr="00AB2AF0">
        <w:rPr>
          <w:rFonts w:asciiTheme="minorBidi" w:hAnsiTheme="minorBidi" w:cstheme="minorBidi"/>
          <w:lang w:eastAsia="zh-CN"/>
        </w:rPr>
        <w:t xml:space="preserve"> In the later case, the </w:t>
      </w:r>
      <w:r w:rsidR="00AB2AF0" w:rsidRPr="00AB2AF0">
        <w:rPr>
          <w:rFonts w:asciiTheme="minorBidi" w:hAnsiTheme="minorBidi" w:cstheme="minorBidi"/>
          <w:lang w:eastAsia="zh-CN"/>
        </w:rPr>
        <w:t xml:space="preserve">overhead savings as compared to single TB across multiple TTIs are not clear. </w:t>
      </w:r>
      <w:r w:rsidR="00C04E83" w:rsidRPr="00AB2AF0">
        <w:rPr>
          <w:rFonts w:asciiTheme="minorBidi" w:hAnsiTheme="minorBidi" w:cstheme="minorBidi"/>
          <w:lang w:eastAsia="zh-CN"/>
        </w:rPr>
        <w:t xml:space="preserve"> </w:t>
      </w:r>
    </w:p>
    <w:p w14:paraId="3A68C9DD" w14:textId="503E5B24" w:rsidR="002A7A8E" w:rsidRPr="00B30D2B" w:rsidRDefault="00B30D2B" w:rsidP="001A7386">
      <w:pPr>
        <w:pStyle w:val="Proposal"/>
      </w:pPr>
      <w:bookmarkStart w:id="10" w:name="_Toc535015257"/>
      <w:r>
        <w:t>Scheduling one TB across different TTIs is not supported for NR-U</w:t>
      </w:r>
      <w:bookmarkStart w:id="11" w:name="_Hlk520468333"/>
      <w:bookmarkStart w:id="12" w:name="_Hlk520468119"/>
      <w:bookmarkEnd w:id="10"/>
    </w:p>
    <w:bookmarkEnd w:id="11"/>
    <w:bookmarkEnd w:id="12"/>
    <w:p w14:paraId="7298A046" w14:textId="7587659E" w:rsidR="006E1C82" w:rsidRDefault="00C01F33" w:rsidP="00DF6BA7">
      <w:pPr>
        <w:pStyle w:val="Heading1"/>
        <w:ind w:left="0" w:firstLine="0"/>
        <w:rPr>
          <w:b/>
          <w:bCs/>
        </w:rPr>
      </w:pPr>
      <w:r w:rsidRPr="00CE0424">
        <w:t>Conclusion</w:t>
      </w:r>
    </w:p>
    <w:p w14:paraId="6449A13A"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911A5D9" w14:textId="18AE078B" w:rsidR="005375FE" w:rsidRDefault="006E1C82">
      <w:pPr>
        <w:pStyle w:val="TableofFigures"/>
        <w:tabs>
          <w:tab w:val="right" w:leader="dot" w:pos="9629"/>
        </w:tabs>
        <w:rPr>
          <w:rFonts w:asciiTheme="minorHAnsi" w:eastAsiaTheme="minorEastAsia" w:hAnsiTheme="minorHAnsi" w:cstheme="minorBidi"/>
          <w:b w:val="0"/>
          <w:noProof/>
          <w:sz w:val="22"/>
          <w:szCs w:val="22"/>
          <w:lang w:val="en-150" w:eastAsia="en-150"/>
        </w:rPr>
      </w:pPr>
      <w:r>
        <w:rPr>
          <w:bCs/>
          <w:lang w:val="en-US"/>
        </w:rPr>
        <w:fldChar w:fldCharType="begin"/>
      </w:r>
      <w:r>
        <w:rPr>
          <w:bCs/>
          <w:lang w:val="en-US"/>
        </w:rPr>
        <w:instrText xml:space="preserve"> TOC \n \h \z \t "Proposal" \c </w:instrText>
      </w:r>
      <w:r>
        <w:rPr>
          <w:bCs/>
          <w:lang w:val="en-US"/>
        </w:rPr>
        <w:fldChar w:fldCharType="separate"/>
      </w:r>
      <w:hyperlink w:anchor="_Toc535015250" w:history="1">
        <w:r w:rsidR="005375FE" w:rsidRPr="00B8226A">
          <w:rPr>
            <w:rStyle w:val="Hyperlink"/>
            <w:noProof/>
            <w:lang w:val="en-150"/>
          </w:rPr>
          <w:t>Proposal 1</w:t>
        </w:r>
        <w:r w:rsidR="005375FE">
          <w:rPr>
            <w:rFonts w:asciiTheme="minorHAnsi" w:eastAsiaTheme="minorEastAsia" w:hAnsiTheme="minorHAnsi" w:cstheme="minorBidi"/>
            <w:b w:val="0"/>
            <w:noProof/>
            <w:sz w:val="22"/>
            <w:szCs w:val="22"/>
            <w:lang w:val="en-150" w:eastAsia="en-150"/>
          </w:rPr>
          <w:tab/>
        </w:r>
        <w:r w:rsidR="005375FE" w:rsidRPr="00B8226A">
          <w:rPr>
            <w:rStyle w:val="Hyperlink"/>
            <w:noProof/>
            <w:lang w:val="en-150"/>
          </w:rPr>
          <w:t xml:space="preserve">RAN1 to decide on the signals/channels that can be sent </w:t>
        </w:r>
        <w:r w:rsidR="005375FE" w:rsidRPr="00B8226A">
          <w:rPr>
            <w:rStyle w:val="Hyperlink"/>
            <w:noProof/>
            <w:lang w:val="en-US"/>
          </w:rPr>
          <w:t xml:space="preserve">between </w:t>
        </w:r>
        <w:r w:rsidR="005375FE" w:rsidRPr="00B8226A">
          <w:rPr>
            <w:rStyle w:val="Hyperlink"/>
            <w:noProof/>
            <w:lang w:val="en-150"/>
          </w:rPr>
          <w:t>last</w:t>
        </w:r>
        <w:r w:rsidR="005375FE" w:rsidRPr="00B8226A">
          <w:rPr>
            <w:rStyle w:val="Hyperlink"/>
            <w:noProof/>
            <w:lang w:val="en-US"/>
          </w:rPr>
          <w:t xml:space="preserve"> DL transmission</w:t>
        </w:r>
        <w:r w:rsidR="005375FE" w:rsidRPr="00B8226A">
          <w:rPr>
            <w:rStyle w:val="Hyperlink"/>
            <w:noProof/>
            <w:lang w:val="en-150"/>
          </w:rPr>
          <w:t xml:space="preserve"> that require feedback </w:t>
        </w:r>
        <w:r w:rsidR="005375FE" w:rsidRPr="00B8226A">
          <w:rPr>
            <w:rStyle w:val="Hyperlink"/>
            <w:noProof/>
            <w:lang w:val="en-US"/>
          </w:rPr>
          <w:t>and the corresponding UL transmission of DL HARQ feedback for the same UE within a shared COT</w:t>
        </w:r>
        <w:r w:rsidR="005375FE" w:rsidRPr="00B8226A">
          <w:rPr>
            <w:rStyle w:val="Hyperlink"/>
            <w:noProof/>
            <w:lang w:val="en-150"/>
          </w:rPr>
          <w:t xml:space="preserve"> after the NR-U control signals/channels design is done.</w:t>
        </w:r>
      </w:hyperlink>
    </w:p>
    <w:p w14:paraId="651458A9" w14:textId="04303808" w:rsidR="005375FE" w:rsidRDefault="005375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5015251" w:history="1">
        <w:r w:rsidRPr="00B8226A">
          <w:rPr>
            <w:rStyle w:val="Hyperlink"/>
            <w:noProof/>
          </w:rPr>
          <w:t>Proposal 2</w:t>
        </w:r>
        <w:r>
          <w:rPr>
            <w:rFonts w:asciiTheme="minorHAnsi" w:eastAsiaTheme="minorEastAsia" w:hAnsiTheme="minorHAnsi" w:cstheme="minorBidi"/>
            <w:b w:val="0"/>
            <w:noProof/>
            <w:sz w:val="22"/>
            <w:szCs w:val="22"/>
            <w:lang w:val="en-150" w:eastAsia="en-150"/>
          </w:rPr>
          <w:tab/>
        </w:r>
        <w:r w:rsidRPr="00B8226A">
          <w:rPr>
            <w:rStyle w:val="Hyperlink"/>
            <w:noProof/>
          </w:rPr>
          <w:t>Alignment between gNB expected codebook size on UCI and the one reported by the UE even in case of PUCCH misdetection should always be guaranteed.</w:t>
        </w:r>
      </w:hyperlink>
    </w:p>
    <w:p w14:paraId="589A3BA3" w14:textId="29C24FD0" w:rsidR="005375FE" w:rsidRDefault="005375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5015252" w:history="1">
        <w:r w:rsidRPr="00B8226A">
          <w:rPr>
            <w:rStyle w:val="Hyperlink"/>
            <w:rFonts w:eastAsia="Calibri"/>
            <w:noProof/>
          </w:rPr>
          <w:t>Proposal 3</w:t>
        </w:r>
        <w:r>
          <w:rPr>
            <w:rFonts w:asciiTheme="minorHAnsi" w:eastAsiaTheme="minorEastAsia" w:hAnsiTheme="minorHAnsi" w:cstheme="minorBidi"/>
            <w:b w:val="0"/>
            <w:noProof/>
            <w:sz w:val="22"/>
            <w:szCs w:val="22"/>
            <w:lang w:val="en-150" w:eastAsia="en-150"/>
          </w:rPr>
          <w:tab/>
        </w:r>
        <w:r w:rsidRPr="00B8226A">
          <w:rPr>
            <w:rStyle w:val="Hyperlink"/>
            <w:rFonts w:eastAsia="Calibri"/>
            <w:noProof/>
          </w:rPr>
          <w:t>RAN1 to consider Alt1 and Alt5 to support cross-COT HARQ-ACK feedback and multiple opportunities for HARQ-ACK feedback</w:t>
        </w:r>
      </w:hyperlink>
    </w:p>
    <w:p w14:paraId="2FEEB9CD" w14:textId="2C6E5622" w:rsidR="005375FE" w:rsidRDefault="005375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5015253" w:history="1">
        <w:r w:rsidRPr="00B8226A">
          <w:rPr>
            <w:rStyle w:val="Hyperlink"/>
            <w:noProof/>
          </w:rPr>
          <w:t>Proposal 4</w:t>
        </w:r>
        <w:r>
          <w:rPr>
            <w:rFonts w:asciiTheme="minorHAnsi" w:eastAsiaTheme="minorEastAsia" w:hAnsiTheme="minorHAnsi" w:cstheme="minorBidi"/>
            <w:b w:val="0"/>
            <w:noProof/>
            <w:sz w:val="22"/>
            <w:szCs w:val="22"/>
            <w:lang w:val="en-150" w:eastAsia="en-150"/>
          </w:rPr>
          <w:tab/>
        </w:r>
        <w:r w:rsidRPr="00B8226A">
          <w:rPr>
            <w:rStyle w:val="Hyperlink"/>
            <w:noProof/>
          </w:rPr>
          <w:t>DCIs for scheduling PDSCH on unlicensed carriers should support larger DAI field as compared to Rel-15 NR DCI for scheduling PDSCH on licensed carrier.</w:t>
        </w:r>
      </w:hyperlink>
    </w:p>
    <w:p w14:paraId="745AC24A" w14:textId="1ADE6DE9" w:rsidR="005375FE" w:rsidRDefault="005375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5015254" w:history="1">
        <w:r w:rsidRPr="00B8226A">
          <w:rPr>
            <w:rStyle w:val="Hyperlink"/>
            <w:noProof/>
          </w:rPr>
          <w:t>Proposal 5</w:t>
        </w:r>
        <w:r>
          <w:rPr>
            <w:rFonts w:asciiTheme="minorHAnsi" w:eastAsiaTheme="minorEastAsia" w:hAnsiTheme="minorHAnsi" w:cstheme="minorBidi"/>
            <w:b w:val="0"/>
            <w:noProof/>
            <w:sz w:val="22"/>
            <w:szCs w:val="22"/>
            <w:lang w:val="en-150" w:eastAsia="en-150"/>
          </w:rPr>
          <w:tab/>
        </w:r>
        <w:r w:rsidRPr="00B8226A">
          <w:rPr>
            <w:rStyle w:val="Hyperlink"/>
            <w:noProof/>
          </w:rPr>
          <w:t>Introduce a toggle bit (NFI) in a DCI to indicate whether the expected HARQ-ACK feedback(s) from the UE was correctly received by the gNB or not.</w:t>
        </w:r>
      </w:hyperlink>
    </w:p>
    <w:p w14:paraId="58DC8266" w14:textId="2EB4F485" w:rsidR="005375FE" w:rsidRDefault="005375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5015255" w:history="1">
        <w:r w:rsidRPr="00B8226A">
          <w:rPr>
            <w:rStyle w:val="Hyperlink"/>
            <w:noProof/>
          </w:rPr>
          <w:t>a.</w:t>
        </w:r>
        <w:r>
          <w:rPr>
            <w:rFonts w:asciiTheme="minorHAnsi" w:eastAsiaTheme="minorEastAsia" w:hAnsiTheme="minorHAnsi" w:cstheme="minorBidi"/>
            <w:b w:val="0"/>
            <w:noProof/>
            <w:sz w:val="22"/>
            <w:szCs w:val="22"/>
            <w:lang w:val="en-150" w:eastAsia="en-150"/>
          </w:rPr>
          <w:tab/>
        </w:r>
        <w:r w:rsidRPr="00B8226A">
          <w:rPr>
            <w:rStyle w:val="Hyperlink"/>
            <w:noProof/>
            <w:spacing w:val="2"/>
            <w:lang w:val="en-US" w:eastAsia="en-US"/>
          </w:rPr>
          <w:t>Not toggle: the HARQ-ACK occasion(s) since the bit was last toggled was not received. The UE will automatically include the none received HARQ-ACK bits in the next reporting occasion</w:t>
        </w:r>
      </w:hyperlink>
    </w:p>
    <w:p w14:paraId="1E836417" w14:textId="24AC4327" w:rsidR="005375FE" w:rsidRDefault="005375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5015256" w:history="1">
        <w:r w:rsidRPr="00B8226A">
          <w:rPr>
            <w:rStyle w:val="Hyperlink"/>
            <w:noProof/>
          </w:rPr>
          <w:t>b.</w:t>
        </w:r>
        <w:r>
          <w:rPr>
            <w:rFonts w:asciiTheme="minorHAnsi" w:eastAsiaTheme="minorEastAsia" w:hAnsiTheme="minorHAnsi" w:cstheme="minorBidi"/>
            <w:b w:val="0"/>
            <w:noProof/>
            <w:sz w:val="22"/>
            <w:szCs w:val="22"/>
            <w:lang w:val="en-150" w:eastAsia="en-150"/>
          </w:rPr>
          <w:tab/>
        </w:r>
        <w:r w:rsidRPr="00B8226A">
          <w:rPr>
            <w:rStyle w:val="Hyperlink"/>
            <w:noProof/>
            <w:spacing w:val="2"/>
            <w:lang w:val="en-US" w:eastAsia="en-US"/>
          </w:rPr>
          <w:t xml:space="preserve">Toggled: the HARQ-ACK occasion(s) since the bit was last toggled was received </w:t>
        </w:r>
        <w:bookmarkStart w:id="13" w:name="_GoBack"/>
        <w:bookmarkEnd w:id="13"/>
        <w:r w:rsidRPr="00B8226A">
          <w:rPr>
            <w:rStyle w:val="Hyperlink"/>
            <w:noProof/>
            <w:spacing w:val="2"/>
            <w:lang w:val="en-US" w:eastAsia="en-US"/>
          </w:rPr>
          <w:t>by the gNB</w:t>
        </w:r>
      </w:hyperlink>
    </w:p>
    <w:p w14:paraId="31A38273" w14:textId="29ED8694" w:rsidR="005375FE" w:rsidRDefault="005375FE">
      <w:pPr>
        <w:pStyle w:val="TableofFigures"/>
        <w:tabs>
          <w:tab w:val="right" w:leader="dot" w:pos="9629"/>
        </w:tabs>
        <w:rPr>
          <w:rFonts w:asciiTheme="minorHAnsi" w:eastAsiaTheme="minorEastAsia" w:hAnsiTheme="minorHAnsi" w:cstheme="minorBidi"/>
          <w:b w:val="0"/>
          <w:noProof/>
          <w:sz w:val="22"/>
          <w:szCs w:val="22"/>
          <w:lang w:val="en-150" w:eastAsia="en-150"/>
        </w:rPr>
      </w:pPr>
      <w:hyperlink w:anchor="_Toc535015257" w:history="1">
        <w:r w:rsidRPr="00B8226A">
          <w:rPr>
            <w:rStyle w:val="Hyperlink"/>
            <w:noProof/>
          </w:rPr>
          <w:t>Proposal 6</w:t>
        </w:r>
        <w:r>
          <w:rPr>
            <w:rFonts w:asciiTheme="minorHAnsi" w:eastAsiaTheme="minorEastAsia" w:hAnsiTheme="minorHAnsi" w:cstheme="minorBidi"/>
            <w:b w:val="0"/>
            <w:noProof/>
            <w:sz w:val="22"/>
            <w:szCs w:val="22"/>
            <w:lang w:val="en-150" w:eastAsia="en-150"/>
          </w:rPr>
          <w:tab/>
        </w:r>
        <w:r w:rsidRPr="00B8226A">
          <w:rPr>
            <w:rStyle w:val="Hyperlink"/>
            <w:noProof/>
          </w:rPr>
          <w:t>Scheduling one TB across different TTIs is not supported for NR-U</w:t>
        </w:r>
      </w:hyperlink>
    </w:p>
    <w:p w14:paraId="29E5F4E6" w14:textId="36FB7DB0" w:rsidR="00C01F33" w:rsidRPr="006D7B1E" w:rsidRDefault="006E1C82" w:rsidP="006D7B1E">
      <w:pPr>
        <w:pStyle w:val="BodyText"/>
        <w:rPr>
          <w:b/>
          <w:bCs/>
        </w:rPr>
      </w:pPr>
      <w:r>
        <w:rPr>
          <w:b/>
          <w:bCs/>
          <w:lang w:val="en-US"/>
        </w:rPr>
        <w:fldChar w:fldCharType="end"/>
      </w:r>
    </w:p>
    <w:p w14:paraId="75F0F757" w14:textId="77777777" w:rsidR="00F507D1" w:rsidRPr="00CE0424" w:rsidRDefault="00F507D1" w:rsidP="00CE0424">
      <w:pPr>
        <w:pStyle w:val="Heading1"/>
      </w:pPr>
      <w:bookmarkStart w:id="14" w:name="_In-sequence_SDU_delivery"/>
      <w:bookmarkEnd w:id="14"/>
      <w:r w:rsidRPr="00CE0424">
        <w:lastRenderedPageBreak/>
        <w:t>References</w:t>
      </w:r>
    </w:p>
    <w:p w14:paraId="15A31830" w14:textId="77777777" w:rsidR="00DF6BA7" w:rsidRDefault="00DF6BA7" w:rsidP="00DF6BA7">
      <w:pPr>
        <w:pStyle w:val="Reference"/>
        <w:overflowPunct/>
        <w:autoSpaceDE/>
        <w:autoSpaceDN/>
        <w:adjustRightInd/>
        <w:spacing w:line="259" w:lineRule="auto"/>
        <w:textAlignment w:val="auto"/>
      </w:pPr>
      <w:bookmarkStart w:id="15" w:name="_Ref534117348"/>
      <w:r>
        <w:t>3GPP TR 38.889, “</w:t>
      </w:r>
      <w:r w:rsidRPr="004449F0">
        <w:t>Study on NR-based access to unlicensed spectrum</w:t>
      </w:r>
      <w:r>
        <w:t>,” v16.0.0, December 2018.</w:t>
      </w:r>
      <w:bookmarkEnd w:id="15"/>
    </w:p>
    <w:p w14:paraId="04881438" w14:textId="77777777" w:rsidR="00C11DA7" w:rsidRPr="00CE0424" w:rsidRDefault="00C11DA7" w:rsidP="00C11DA7">
      <w:pPr>
        <w:pStyle w:val="Reference"/>
        <w:numPr>
          <w:ilvl w:val="0"/>
          <w:numId w:val="0"/>
        </w:numPr>
        <w:rPr>
          <w:lang w:eastAsia="ja-JP"/>
        </w:rPr>
      </w:pPr>
    </w:p>
    <w:sectPr w:rsidR="00C11DA7" w:rsidRPr="00CE0424" w:rsidSect="00C473A5">
      <w:headerReference w:type="even" r:id="rId16"/>
      <w:footerReference w:type="default" r:id="rId17"/>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74B03" w14:textId="77777777" w:rsidR="00562E6A" w:rsidRDefault="00562E6A">
      <w:r>
        <w:separator/>
      </w:r>
    </w:p>
  </w:endnote>
  <w:endnote w:type="continuationSeparator" w:id="0">
    <w:p w14:paraId="17D03B65" w14:textId="77777777" w:rsidR="00562E6A" w:rsidRDefault="00562E6A">
      <w:r>
        <w:continuationSeparator/>
      </w:r>
    </w:p>
  </w:endnote>
  <w:endnote w:type="continuationNotice" w:id="1">
    <w:p w14:paraId="0A2C46D9" w14:textId="77777777" w:rsidR="00562E6A" w:rsidRDefault="00562E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C5667" w14:textId="1252F4C6" w:rsidR="00C72270" w:rsidRDefault="00C7227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40F70">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40F70">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7CEE47" w14:textId="77777777" w:rsidR="00562E6A" w:rsidRDefault="00562E6A">
      <w:r>
        <w:separator/>
      </w:r>
    </w:p>
  </w:footnote>
  <w:footnote w:type="continuationSeparator" w:id="0">
    <w:p w14:paraId="3BD44AD5" w14:textId="77777777" w:rsidR="00562E6A" w:rsidRDefault="00562E6A">
      <w:r>
        <w:continuationSeparator/>
      </w:r>
    </w:p>
  </w:footnote>
  <w:footnote w:type="continuationNotice" w:id="1">
    <w:p w14:paraId="08C1AE36" w14:textId="77777777" w:rsidR="00562E6A" w:rsidRDefault="00562E6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5EC" w14:textId="77777777" w:rsidR="00C72270" w:rsidRDefault="00C7227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5C1294CE"/>
    <w:lvl w:ilvl="0" w:tplc="FCBEC8F8">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09E1EA8"/>
    <w:multiLevelType w:val="hybridMultilevel"/>
    <w:tmpl w:val="DAD82130"/>
    <w:lvl w:ilvl="0" w:tplc="E4D09F0A">
      <w:start w:val="1"/>
      <w:numFmt w:val="decimal"/>
      <w:lvlText w:val="%1"/>
      <w:lvlJc w:val="left"/>
      <w:pPr>
        <w:ind w:left="1140" w:hanging="114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A4D6392"/>
    <w:multiLevelType w:val="hybridMultilevel"/>
    <w:tmpl w:val="086098FE"/>
    <w:lvl w:ilvl="0" w:tplc="2552122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E3A6F40"/>
    <w:multiLevelType w:val="hybridMultilevel"/>
    <w:tmpl w:val="64F0B3B2"/>
    <w:lvl w:ilvl="0" w:tplc="47502D1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6A57196"/>
    <w:multiLevelType w:val="hybridMultilevel"/>
    <w:tmpl w:val="C7604F10"/>
    <w:lvl w:ilvl="0" w:tplc="47502D1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1"/>
  </w:num>
  <w:num w:numId="7">
    <w:abstractNumId w:val="3"/>
  </w:num>
  <w:num w:numId="8">
    <w:abstractNumId w:val="4"/>
  </w:num>
  <w:num w:numId="9">
    <w:abstractNumId w:val="1"/>
  </w:num>
  <w:num w:numId="10">
    <w:abstractNumId w:val="15"/>
  </w:num>
  <w:num w:numId="11">
    <w:abstractNumId w:val="5"/>
  </w:num>
  <w:num w:numId="12">
    <w:abstractNumId w:val="14"/>
  </w:num>
  <w:num w:numId="13">
    <w:abstractNumId w:val="13"/>
  </w:num>
  <w:num w:numId="14">
    <w:abstractNumId w:val="7"/>
  </w:num>
  <w:num w:numId="15">
    <w:abstractNumId w:val="12"/>
  </w:num>
  <w:num w:numId="16">
    <w:abstractNumId w:val="2"/>
  </w:num>
  <w:num w:numId="17">
    <w:abstractNumId w:val="16"/>
  </w:num>
  <w:num w:numId="18">
    <w:abstractNumId w:val="6"/>
  </w:num>
  <w:num w:numId="19">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150"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3A58"/>
    <w:rsid w:val="000006E1"/>
    <w:rsid w:val="00002A37"/>
    <w:rsid w:val="00005495"/>
    <w:rsid w:val="0000564C"/>
    <w:rsid w:val="00006446"/>
    <w:rsid w:val="00006896"/>
    <w:rsid w:val="00007CDC"/>
    <w:rsid w:val="000101DB"/>
    <w:rsid w:val="00011B28"/>
    <w:rsid w:val="00014FF3"/>
    <w:rsid w:val="00015D15"/>
    <w:rsid w:val="0002329D"/>
    <w:rsid w:val="0002564D"/>
    <w:rsid w:val="00025ECA"/>
    <w:rsid w:val="000325B8"/>
    <w:rsid w:val="00034C15"/>
    <w:rsid w:val="00036BA1"/>
    <w:rsid w:val="00041571"/>
    <w:rsid w:val="000422E2"/>
    <w:rsid w:val="00042F22"/>
    <w:rsid w:val="000444EF"/>
    <w:rsid w:val="00052A07"/>
    <w:rsid w:val="000534E3"/>
    <w:rsid w:val="0005606A"/>
    <w:rsid w:val="00057117"/>
    <w:rsid w:val="000574BA"/>
    <w:rsid w:val="00060D9F"/>
    <w:rsid w:val="000616E7"/>
    <w:rsid w:val="00063A58"/>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1DEC"/>
    <w:rsid w:val="000B2719"/>
    <w:rsid w:val="000B3A8F"/>
    <w:rsid w:val="000B4AB9"/>
    <w:rsid w:val="000B58C3"/>
    <w:rsid w:val="000B61E9"/>
    <w:rsid w:val="000B73BD"/>
    <w:rsid w:val="000B7F2E"/>
    <w:rsid w:val="000C0D60"/>
    <w:rsid w:val="000C165A"/>
    <w:rsid w:val="000C2E19"/>
    <w:rsid w:val="000C7F90"/>
    <w:rsid w:val="000D0D07"/>
    <w:rsid w:val="000D4797"/>
    <w:rsid w:val="000D639C"/>
    <w:rsid w:val="000D6D6A"/>
    <w:rsid w:val="000E0527"/>
    <w:rsid w:val="000E139A"/>
    <w:rsid w:val="000E1E92"/>
    <w:rsid w:val="000E5535"/>
    <w:rsid w:val="000F06D6"/>
    <w:rsid w:val="000F0EB1"/>
    <w:rsid w:val="000F1106"/>
    <w:rsid w:val="000F3BE9"/>
    <w:rsid w:val="000F3F6C"/>
    <w:rsid w:val="000F6DF3"/>
    <w:rsid w:val="000F7539"/>
    <w:rsid w:val="001005FF"/>
    <w:rsid w:val="00105E0F"/>
    <w:rsid w:val="001062FB"/>
    <w:rsid w:val="001063E6"/>
    <w:rsid w:val="001101B4"/>
    <w:rsid w:val="00113CF4"/>
    <w:rsid w:val="001153EA"/>
    <w:rsid w:val="00115643"/>
    <w:rsid w:val="00116765"/>
    <w:rsid w:val="00117344"/>
    <w:rsid w:val="001219F5"/>
    <w:rsid w:val="00121A20"/>
    <w:rsid w:val="001231CF"/>
    <w:rsid w:val="0012377F"/>
    <w:rsid w:val="00124314"/>
    <w:rsid w:val="00126B4A"/>
    <w:rsid w:val="00132FD0"/>
    <w:rsid w:val="001344C0"/>
    <w:rsid w:val="001346FA"/>
    <w:rsid w:val="00135252"/>
    <w:rsid w:val="001360E1"/>
    <w:rsid w:val="00137AB5"/>
    <w:rsid w:val="00137F0B"/>
    <w:rsid w:val="001465E9"/>
    <w:rsid w:val="00151E23"/>
    <w:rsid w:val="001526E0"/>
    <w:rsid w:val="001551B5"/>
    <w:rsid w:val="00155D6A"/>
    <w:rsid w:val="00163868"/>
    <w:rsid w:val="001659C1"/>
    <w:rsid w:val="00166023"/>
    <w:rsid w:val="00173A8E"/>
    <w:rsid w:val="0017502C"/>
    <w:rsid w:val="00177189"/>
    <w:rsid w:val="0018143F"/>
    <w:rsid w:val="00181FF8"/>
    <w:rsid w:val="00190AC1"/>
    <w:rsid w:val="0019341A"/>
    <w:rsid w:val="0019625E"/>
    <w:rsid w:val="00197DF9"/>
    <w:rsid w:val="001A1987"/>
    <w:rsid w:val="001A2564"/>
    <w:rsid w:val="001A422D"/>
    <w:rsid w:val="001A6173"/>
    <w:rsid w:val="001A6CBA"/>
    <w:rsid w:val="001A7386"/>
    <w:rsid w:val="001B0D97"/>
    <w:rsid w:val="001B5A5D"/>
    <w:rsid w:val="001B5CB3"/>
    <w:rsid w:val="001C1CE5"/>
    <w:rsid w:val="001C3B10"/>
    <w:rsid w:val="001C3D2A"/>
    <w:rsid w:val="001C50AA"/>
    <w:rsid w:val="001C50CC"/>
    <w:rsid w:val="001C591E"/>
    <w:rsid w:val="001C6089"/>
    <w:rsid w:val="001D33FD"/>
    <w:rsid w:val="001D51BA"/>
    <w:rsid w:val="001D53E7"/>
    <w:rsid w:val="001D6342"/>
    <w:rsid w:val="001D6D53"/>
    <w:rsid w:val="001E58E2"/>
    <w:rsid w:val="001E7AED"/>
    <w:rsid w:val="001E7D90"/>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D99"/>
    <w:rsid w:val="00223FCB"/>
    <w:rsid w:val="002252C3"/>
    <w:rsid w:val="00225C54"/>
    <w:rsid w:val="00230765"/>
    <w:rsid w:val="00230D18"/>
    <w:rsid w:val="00230EF5"/>
    <w:rsid w:val="002319E4"/>
    <w:rsid w:val="00235632"/>
    <w:rsid w:val="00235872"/>
    <w:rsid w:val="00235F3D"/>
    <w:rsid w:val="00241559"/>
    <w:rsid w:val="0024226A"/>
    <w:rsid w:val="002435B3"/>
    <w:rsid w:val="002458EB"/>
    <w:rsid w:val="002500C8"/>
    <w:rsid w:val="0025238A"/>
    <w:rsid w:val="00257543"/>
    <w:rsid w:val="002617E7"/>
    <w:rsid w:val="00262B6C"/>
    <w:rsid w:val="00262E32"/>
    <w:rsid w:val="00264228"/>
    <w:rsid w:val="00264334"/>
    <w:rsid w:val="0026473E"/>
    <w:rsid w:val="00264923"/>
    <w:rsid w:val="00266214"/>
    <w:rsid w:val="00267C83"/>
    <w:rsid w:val="00270443"/>
    <w:rsid w:val="0027144F"/>
    <w:rsid w:val="00271813"/>
    <w:rsid w:val="00271F3A"/>
    <w:rsid w:val="00272516"/>
    <w:rsid w:val="00273278"/>
    <w:rsid w:val="002737F4"/>
    <w:rsid w:val="00276A6E"/>
    <w:rsid w:val="002805F5"/>
    <w:rsid w:val="00280751"/>
    <w:rsid w:val="0028280A"/>
    <w:rsid w:val="00285AE1"/>
    <w:rsid w:val="00286ACD"/>
    <w:rsid w:val="00287838"/>
    <w:rsid w:val="002907B5"/>
    <w:rsid w:val="00292EB7"/>
    <w:rsid w:val="002950C5"/>
    <w:rsid w:val="00296227"/>
    <w:rsid w:val="00296F44"/>
    <w:rsid w:val="0029777D"/>
    <w:rsid w:val="002A055E"/>
    <w:rsid w:val="002A1D4E"/>
    <w:rsid w:val="002A2869"/>
    <w:rsid w:val="002A7A8E"/>
    <w:rsid w:val="002B12F5"/>
    <w:rsid w:val="002B1E4E"/>
    <w:rsid w:val="002B24D6"/>
    <w:rsid w:val="002B7D3D"/>
    <w:rsid w:val="002C198E"/>
    <w:rsid w:val="002C41E6"/>
    <w:rsid w:val="002C7BAF"/>
    <w:rsid w:val="002D071A"/>
    <w:rsid w:val="002D1C9F"/>
    <w:rsid w:val="002D34B2"/>
    <w:rsid w:val="002D43A9"/>
    <w:rsid w:val="002D48B0"/>
    <w:rsid w:val="002D5B37"/>
    <w:rsid w:val="002D7637"/>
    <w:rsid w:val="002E17F2"/>
    <w:rsid w:val="002E7CAE"/>
    <w:rsid w:val="002F0BEB"/>
    <w:rsid w:val="002F2771"/>
    <w:rsid w:val="002F37A9"/>
    <w:rsid w:val="002F5A12"/>
    <w:rsid w:val="002F5CA3"/>
    <w:rsid w:val="002F6ACE"/>
    <w:rsid w:val="002F73FA"/>
    <w:rsid w:val="00301CE6"/>
    <w:rsid w:val="0030256B"/>
    <w:rsid w:val="0030501F"/>
    <w:rsid w:val="00307BA1"/>
    <w:rsid w:val="00311702"/>
    <w:rsid w:val="00311E82"/>
    <w:rsid w:val="00313FD6"/>
    <w:rsid w:val="003143BD"/>
    <w:rsid w:val="00315363"/>
    <w:rsid w:val="003203ED"/>
    <w:rsid w:val="00320A74"/>
    <w:rsid w:val="00322A5B"/>
    <w:rsid w:val="00322C9F"/>
    <w:rsid w:val="00324D23"/>
    <w:rsid w:val="003271CA"/>
    <w:rsid w:val="00327883"/>
    <w:rsid w:val="00331751"/>
    <w:rsid w:val="00334579"/>
    <w:rsid w:val="00335791"/>
    <w:rsid w:val="00335858"/>
    <w:rsid w:val="00336BDA"/>
    <w:rsid w:val="00342B5D"/>
    <w:rsid w:val="00342BD7"/>
    <w:rsid w:val="003469D2"/>
    <w:rsid w:val="00346A49"/>
    <w:rsid w:val="00346DB5"/>
    <w:rsid w:val="003477B1"/>
    <w:rsid w:val="00352468"/>
    <w:rsid w:val="00356209"/>
    <w:rsid w:val="00357380"/>
    <w:rsid w:val="003602D9"/>
    <w:rsid w:val="003604CE"/>
    <w:rsid w:val="003709C7"/>
    <w:rsid w:val="00370E47"/>
    <w:rsid w:val="003742AC"/>
    <w:rsid w:val="00377CE1"/>
    <w:rsid w:val="003815B5"/>
    <w:rsid w:val="00385BF0"/>
    <w:rsid w:val="00387317"/>
    <w:rsid w:val="00390302"/>
    <w:rsid w:val="003939FF"/>
    <w:rsid w:val="0039452B"/>
    <w:rsid w:val="003A2223"/>
    <w:rsid w:val="003A2A0F"/>
    <w:rsid w:val="003A45A1"/>
    <w:rsid w:val="003A5B0A"/>
    <w:rsid w:val="003A6BAC"/>
    <w:rsid w:val="003A70A4"/>
    <w:rsid w:val="003A745B"/>
    <w:rsid w:val="003A7EF3"/>
    <w:rsid w:val="003B159C"/>
    <w:rsid w:val="003B369F"/>
    <w:rsid w:val="003B36A3"/>
    <w:rsid w:val="003B37D3"/>
    <w:rsid w:val="003B64BB"/>
    <w:rsid w:val="003B7FE5"/>
    <w:rsid w:val="003C0AF4"/>
    <w:rsid w:val="003C11C8"/>
    <w:rsid w:val="003C2702"/>
    <w:rsid w:val="003C4B9C"/>
    <w:rsid w:val="003C7806"/>
    <w:rsid w:val="003D109F"/>
    <w:rsid w:val="003D2478"/>
    <w:rsid w:val="003D2D90"/>
    <w:rsid w:val="003D3C45"/>
    <w:rsid w:val="003D4F20"/>
    <w:rsid w:val="003D5B1F"/>
    <w:rsid w:val="003E15FA"/>
    <w:rsid w:val="003E55E4"/>
    <w:rsid w:val="003E74E3"/>
    <w:rsid w:val="003F04A6"/>
    <w:rsid w:val="003F05C7"/>
    <w:rsid w:val="003F2CD4"/>
    <w:rsid w:val="003F6BBE"/>
    <w:rsid w:val="004000E8"/>
    <w:rsid w:val="004003FF"/>
    <w:rsid w:val="00402E2B"/>
    <w:rsid w:val="00403F84"/>
    <w:rsid w:val="0040512B"/>
    <w:rsid w:val="00405CA5"/>
    <w:rsid w:val="00407CD3"/>
    <w:rsid w:val="00410134"/>
    <w:rsid w:val="00410B72"/>
    <w:rsid w:val="00410F18"/>
    <w:rsid w:val="0041263E"/>
    <w:rsid w:val="00413AAC"/>
    <w:rsid w:val="00413E92"/>
    <w:rsid w:val="004150C4"/>
    <w:rsid w:val="00416400"/>
    <w:rsid w:val="0042004C"/>
    <w:rsid w:val="00421105"/>
    <w:rsid w:val="00422AA4"/>
    <w:rsid w:val="004242F4"/>
    <w:rsid w:val="00427248"/>
    <w:rsid w:val="00431439"/>
    <w:rsid w:val="00437447"/>
    <w:rsid w:val="00440810"/>
    <w:rsid w:val="00440E1C"/>
    <w:rsid w:val="00441A92"/>
    <w:rsid w:val="004431C8"/>
    <w:rsid w:val="004431DC"/>
    <w:rsid w:val="00444F56"/>
    <w:rsid w:val="00446488"/>
    <w:rsid w:val="004517AA"/>
    <w:rsid w:val="00452CAC"/>
    <w:rsid w:val="00454420"/>
    <w:rsid w:val="0045503A"/>
    <w:rsid w:val="00457565"/>
    <w:rsid w:val="00457B71"/>
    <w:rsid w:val="0046247E"/>
    <w:rsid w:val="004627E2"/>
    <w:rsid w:val="004669E2"/>
    <w:rsid w:val="00470C31"/>
    <w:rsid w:val="00471DE0"/>
    <w:rsid w:val="004734D0"/>
    <w:rsid w:val="0047556B"/>
    <w:rsid w:val="00477768"/>
    <w:rsid w:val="004836F6"/>
    <w:rsid w:val="00490CA2"/>
    <w:rsid w:val="00492BC5"/>
    <w:rsid w:val="0049316F"/>
    <w:rsid w:val="004964B5"/>
    <w:rsid w:val="004964F1"/>
    <w:rsid w:val="004A0DE1"/>
    <w:rsid w:val="004A16BC"/>
    <w:rsid w:val="004A2B94"/>
    <w:rsid w:val="004A64E5"/>
    <w:rsid w:val="004B6F6A"/>
    <w:rsid w:val="004B7C0C"/>
    <w:rsid w:val="004C3898"/>
    <w:rsid w:val="004C5484"/>
    <w:rsid w:val="004D1DC2"/>
    <w:rsid w:val="004D36B1"/>
    <w:rsid w:val="004D7543"/>
    <w:rsid w:val="004D7BCD"/>
    <w:rsid w:val="004D7EBD"/>
    <w:rsid w:val="004E2680"/>
    <w:rsid w:val="004E28F9"/>
    <w:rsid w:val="004E462E"/>
    <w:rsid w:val="004E56DC"/>
    <w:rsid w:val="004E76F4"/>
    <w:rsid w:val="004E7C33"/>
    <w:rsid w:val="004F0B4E"/>
    <w:rsid w:val="004F0B6C"/>
    <w:rsid w:val="004F2078"/>
    <w:rsid w:val="004F4DA3"/>
    <w:rsid w:val="004F63F4"/>
    <w:rsid w:val="00501BCB"/>
    <w:rsid w:val="00506557"/>
    <w:rsid w:val="0050677A"/>
    <w:rsid w:val="005108D8"/>
    <w:rsid w:val="005116F9"/>
    <w:rsid w:val="005153A7"/>
    <w:rsid w:val="005219CF"/>
    <w:rsid w:val="00521D9B"/>
    <w:rsid w:val="00534B59"/>
    <w:rsid w:val="00536759"/>
    <w:rsid w:val="005375FE"/>
    <w:rsid w:val="00537C62"/>
    <w:rsid w:val="00545057"/>
    <w:rsid w:val="00546970"/>
    <w:rsid w:val="00554E19"/>
    <w:rsid w:val="0056121F"/>
    <w:rsid w:val="00561342"/>
    <w:rsid w:val="00562E6A"/>
    <w:rsid w:val="00572505"/>
    <w:rsid w:val="00575CF1"/>
    <w:rsid w:val="0057604A"/>
    <w:rsid w:val="00576F25"/>
    <w:rsid w:val="00582809"/>
    <w:rsid w:val="005867DE"/>
    <w:rsid w:val="0058798C"/>
    <w:rsid w:val="005900FA"/>
    <w:rsid w:val="005935A4"/>
    <w:rsid w:val="005948C2"/>
    <w:rsid w:val="00595DCA"/>
    <w:rsid w:val="0059779B"/>
    <w:rsid w:val="005A209A"/>
    <w:rsid w:val="005A487E"/>
    <w:rsid w:val="005A662D"/>
    <w:rsid w:val="005B0C15"/>
    <w:rsid w:val="005B1409"/>
    <w:rsid w:val="005B35D7"/>
    <w:rsid w:val="005B392A"/>
    <w:rsid w:val="005B3AA3"/>
    <w:rsid w:val="005B6F83"/>
    <w:rsid w:val="005C5135"/>
    <w:rsid w:val="005C6EF1"/>
    <w:rsid w:val="005C74FB"/>
    <w:rsid w:val="005D1602"/>
    <w:rsid w:val="005E05A1"/>
    <w:rsid w:val="005E0810"/>
    <w:rsid w:val="005E1E91"/>
    <w:rsid w:val="005E1F21"/>
    <w:rsid w:val="005E385F"/>
    <w:rsid w:val="005E5B81"/>
    <w:rsid w:val="005E6D5B"/>
    <w:rsid w:val="005F2CB1"/>
    <w:rsid w:val="005F3025"/>
    <w:rsid w:val="005F618C"/>
    <w:rsid w:val="005F70BD"/>
    <w:rsid w:val="005F74FD"/>
    <w:rsid w:val="0060283C"/>
    <w:rsid w:val="0060320D"/>
    <w:rsid w:val="00604F14"/>
    <w:rsid w:val="00611B83"/>
    <w:rsid w:val="00613257"/>
    <w:rsid w:val="006201BE"/>
    <w:rsid w:val="00620A71"/>
    <w:rsid w:val="00620D80"/>
    <w:rsid w:val="00621DFD"/>
    <w:rsid w:val="006234A6"/>
    <w:rsid w:val="00624F93"/>
    <w:rsid w:val="00630001"/>
    <w:rsid w:val="006311B3"/>
    <w:rsid w:val="0063284C"/>
    <w:rsid w:val="00635B57"/>
    <w:rsid w:val="00636398"/>
    <w:rsid w:val="006368D3"/>
    <w:rsid w:val="006377EC"/>
    <w:rsid w:val="0064151F"/>
    <w:rsid w:val="00641533"/>
    <w:rsid w:val="0064208D"/>
    <w:rsid w:val="00643475"/>
    <w:rsid w:val="0064396A"/>
    <w:rsid w:val="00643B8A"/>
    <w:rsid w:val="00644A83"/>
    <w:rsid w:val="00645F0A"/>
    <w:rsid w:val="0064624E"/>
    <w:rsid w:val="0064674A"/>
    <w:rsid w:val="00650AB9"/>
    <w:rsid w:val="006520D2"/>
    <w:rsid w:val="00655733"/>
    <w:rsid w:val="00655ACD"/>
    <w:rsid w:val="00655DFD"/>
    <w:rsid w:val="006569D0"/>
    <w:rsid w:val="00656A92"/>
    <w:rsid w:val="00656DDE"/>
    <w:rsid w:val="0066011D"/>
    <w:rsid w:val="006607C0"/>
    <w:rsid w:val="006613A6"/>
    <w:rsid w:val="006627A2"/>
    <w:rsid w:val="006634E6"/>
    <w:rsid w:val="00664265"/>
    <w:rsid w:val="00664E55"/>
    <w:rsid w:val="006655EE"/>
    <w:rsid w:val="006679A4"/>
    <w:rsid w:val="00667EE7"/>
    <w:rsid w:val="00670922"/>
    <w:rsid w:val="00670BE1"/>
    <w:rsid w:val="00671EDD"/>
    <w:rsid w:val="0067218F"/>
    <w:rsid w:val="006730F4"/>
    <w:rsid w:val="006741F2"/>
    <w:rsid w:val="00674CC3"/>
    <w:rsid w:val="00675C72"/>
    <w:rsid w:val="006771F9"/>
    <w:rsid w:val="006776D7"/>
    <w:rsid w:val="006801B5"/>
    <w:rsid w:val="00681003"/>
    <w:rsid w:val="006817C9"/>
    <w:rsid w:val="00683ECE"/>
    <w:rsid w:val="0068499E"/>
    <w:rsid w:val="0068535F"/>
    <w:rsid w:val="00695FC2"/>
    <w:rsid w:val="00696949"/>
    <w:rsid w:val="00696EF7"/>
    <w:rsid w:val="00697052"/>
    <w:rsid w:val="006A46FB"/>
    <w:rsid w:val="006A5E28"/>
    <w:rsid w:val="006A697B"/>
    <w:rsid w:val="006A7AFF"/>
    <w:rsid w:val="006B1816"/>
    <w:rsid w:val="006B2099"/>
    <w:rsid w:val="006B50CF"/>
    <w:rsid w:val="006B771D"/>
    <w:rsid w:val="006C03B8"/>
    <w:rsid w:val="006C1DE4"/>
    <w:rsid w:val="006C4F1B"/>
    <w:rsid w:val="006C5EC9"/>
    <w:rsid w:val="006C6059"/>
    <w:rsid w:val="006C7522"/>
    <w:rsid w:val="006D6F08"/>
    <w:rsid w:val="006D7B1E"/>
    <w:rsid w:val="006E062C"/>
    <w:rsid w:val="006E1C82"/>
    <w:rsid w:val="006E24E2"/>
    <w:rsid w:val="006E28B7"/>
    <w:rsid w:val="006E2A9B"/>
    <w:rsid w:val="006E3310"/>
    <w:rsid w:val="006E4E39"/>
    <w:rsid w:val="006E565E"/>
    <w:rsid w:val="006E599D"/>
    <w:rsid w:val="006E673D"/>
    <w:rsid w:val="006E7D3B"/>
    <w:rsid w:val="006F1B70"/>
    <w:rsid w:val="006F341D"/>
    <w:rsid w:val="006F3CDE"/>
    <w:rsid w:val="006F58D4"/>
    <w:rsid w:val="006F6582"/>
    <w:rsid w:val="006F6A58"/>
    <w:rsid w:val="0070346E"/>
    <w:rsid w:val="00704EDB"/>
    <w:rsid w:val="00706101"/>
    <w:rsid w:val="00707072"/>
    <w:rsid w:val="00707D61"/>
    <w:rsid w:val="00712287"/>
    <w:rsid w:val="00712772"/>
    <w:rsid w:val="007148D3"/>
    <w:rsid w:val="00715B9A"/>
    <w:rsid w:val="00717A1D"/>
    <w:rsid w:val="00717EEA"/>
    <w:rsid w:val="007257D0"/>
    <w:rsid w:val="00726EA6"/>
    <w:rsid w:val="00727208"/>
    <w:rsid w:val="00727680"/>
    <w:rsid w:val="007348B1"/>
    <w:rsid w:val="007362A6"/>
    <w:rsid w:val="00736D7D"/>
    <w:rsid w:val="00740E58"/>
    <w:rsid w:val="00741AA6"/>
    <w:rsid w:val="00741CBF"/>
    <w:rsid w:val="007445A0"/>
    <w:rsid w:val="0074524B"/>
    <w:rsid w:val="00747D8B"/>
    <w:rsid w:val="00750F62"/>
    <w:rsid w:val="00751228"/>
    <w:rsid w:val="007571E1"/>
    <w:rsid w:val="007604B2"/>
    <w:rsid w:val="00760BD0"/>
    <w:rsid w:val="00765281"/>
    <w:rsid w:val="00766BAD"/>
    <w:rsid w:val="007729A2"/>
    <w:rsid w:val="00774599"/>
    <w:rsid w:val="007755F2"/>
    <w:rsid w:val="007759D6"/>
    <w:rsid w:val="00775FE7"/>
    <w:rsid w:val="00776971"/>
    <w:rsid w:val="00780A80"/>
    <w:rsid w:val="00780FC4"/>
    <w:rsid w:val="0078177E"/>
    <w:rsid w:val="0078304C"/>
    <w:rsid w:val="00783673"/>
    <w:rsid w:val="0078547B"/>
    <w:rsid w:val="00785490"/>
    <w:rsid w:val="0078748B"/>
    <w:rsid w:val="00791381"/>
    <w:rsid w:val="007925EA"/>
    <w:rsid w:val="00793CD8"/>
    <w:rsid w:val="00795C92"/>
    <w:rsid w:val="00796231"/>
    <w:rsid w:val="007A1CB3"/>
    <w:rsid w:val="007A306F"/>
    <w:rsid w:val="007A32E9"/>
    <w:rsid w:val="007A43A6"/>
    <w:rsid w:val="007A58A6"/>
    <w:rsid w:val="007B3D2D"/>
    <w:rsid w:val="007B50AE"/>
    <w:rsid w:val="007B51DF"/>
    <w:rsid w:val="007C05DD"/>
    <w:rsid w:val="007C3D18"/>
    <w:rsid w:val="007C5429"/>
    <w:rsid w:val="007C60BF"/>
    <w:rsid w:val="007C6A07"/>
    <w:rsid w:val="007C6A98"/>
    <w:rsid w:val="007C75A1"/>
    <w:rsid w:val="007C77A5"/>
    <w:rsid w:val="007D04E5"/>
    <w:rsid w:val="007D5901"/>
    <w:rsid w:val="007D7526"/>
    <w:rsid w:val="007E1ABB"/>
    <w:rsid w:val="007E1ECC"/>
    <w:rsid w:val="007E3BF7"/>
    <w:rsid w:val="007E4610"/>
    <w:rsid w:val="007E4715"/>
    <w:rsid w:val="007E505B"/>
    <w:rsid w:val="007E7091"/>
    <w:rsid w:val="007F00BA"/>
    <w:rsid w:val="007F0CD7"/>
    <w:rsid w:val="00802495"/>
    <w:rsid w:val="00803AAF"/>
    <w:rsid w:val="00803FAE"/>
    <w:rsid w:val="0080605F"/>
    <w:rsid w:val="00807786"/>
    <w:rsid w:val="00811FCB"/>
    <w:rsid w:val="008158D6"/>
    <w:rsid w:val="00815A9D"/>
    <w:rsid w:val="00817196"/>
    <w:rsid w:val="008235DB"/>
    <w:rsid w:val="00824AB4"/>
    <w:rsid w:val="00825C42"/>
    <w:rsid w:val="00825D25"/>
    <w:rsid w:val="00827D6F"/>
    <w:rsid w:val="00832C5E"/>
    <w:rsid w:val="008376AC"/>
    <w:rsid w:val="00843445"/>
    <w:rsid w:val="00843965"/>
    <w:rsid w:val="008444E8"/>
    <w:rsid w:val="00844E80"/>
    <w:rsid w:val="00846FE7"/>
    <w:rsid w:val="00850D2D"/>
    <w:rsid w:val="00856911"/>
    <w:rsid w:val="00864D0D"/>
    <w:rsid w:val="008677FD"/>
    <w:rsid w:val="008706D4"/>
    <w:rsid w:val="00870F47"/>
    <w:rsid w:val="00870F8A"/>
    <w:rsid w:val="008719A4"/>
    <w:rsid w:val="00871D23"/>
    <w:rsid w:val="00874312"/>
    <w:rsid w:val="0087437C"/>
    <w:rsid w:val="00875CD7"/>
    <w:rsid w:val="00876B4D"/>
    <w:rsid w:val="00877F18"/>
    <w:rsid w:val="008941E3"/>
    <w:rsid w:val="00894A88"/>
    <w:rsid w:val="00895386"/>
    <w:rsid w:val="0089634B"/>
    <w:rsid w:val="008A21FF"/>
    <w:rsid w:val="008A2CE2"/>
    <w:rsid w:val="008A30AC"/>
    <w:rsid w:val="008A326D"/>
    <w:rsid w:val="008A44B8"/>
    <w:rsid w:val="008A51A8"/>
    <w:rsid w:val="008A54C7"/>
    <w:rsid w:val="008A77D8"/>
    <w:rsid w:val="008B0483"/>
    <w:rsid w:val="008B120C"/>
    <w:rsid w:val="008B51A0"/>
    <w:rsid w:val="008B592A"/>
    <w:rsid w:val="008B7B5C"/>
    <w:rsid w:val="008C0C99"/>
    <w:rsid w:val="008C2017"/>
    <w:rsid w:val="008C307C"/>
    <w:rsid w:val="008C4958"/>
    <w:rsid w:val="008C4B0A"/>
    <w:rsid w:val="008C4BAA"/>
    <w:rsid w:val="008C6AE8"/>
    <w:rsid w:val="008C7573"/>
    <w:rsid w:val="008D00A5"/>
    <w:rsid w:val="008D250A"/>
    <w:rsid w:val="008D256D"/>
    <w:rsid w:val="008D305F"/>
    <w:rsid w:val="008D34F1"/>
    <w:rsid w:val="008D39D8"/>
    <w:rsid w:val="008D6499"/>
    <w:rsid w:val="008D6D1A"/>
    <w:rsid w:val="008E065E"/>
    <w:rsid w:val="008E0927"/>
    <w:rsid w:val="008E1909"/>
    <w:rsid w:val="008E37F7"/>
    <w:rsid w:val="008F1C4E"/>
    <w:rsid w:val="008F1EAB"/>
    <w:rsid w:val="008F2EE6"/>
    <w:rsid w:val="008F33DC"/>
    <w:rsid w:val="008F477F"/>
    <w:rsid w:val="00901042"/>
    <w:rsid w:val="00902350"/>
    <w:rsid w:val="0090336B"/>
    <w:rsid w:val="009053AA"/>
    <w:rsid w:val="00906939"/>
    <w:rsid w:val="00907E3C"/>
    <w:rsid w:val="00910B7D"/>
    <w:rsid w:val="00911DFB"/>
    <w:rsid w:val="009139D9"/>
    <w:rsid w:val="00913D66"/>
    <w:rsid w:val="00914AD8"/>
    <w:rsid w:val="00916079"/>
    <w:rsid w:val="00917CE9"/>
    <w:rsid w:val="00920BF2"/>
    <w:rsid w:val="00922010"/>
    <w:rsid w:val="009270B9"/>
    <w:rsid w:val="00931BD9"/>
    <w:rsid w:val="009368D3"/>
    <w:rsid w:val="009368F3"/>
    <w:rsid w:val="00941636"/>
    <w:rsid w:val="00943742"/>
    <w:rsid w:val="00945C05"/>
    <w:rsid w:val="009461E1"/>
    <w:rsid w:val="00946945"/>
    <w:rsid w:val="00947713"/>
    <w:rsid w:val="00950DE7"/>
    <w:rsid w:val="00953920"/>
    <w:rsid w:val="00953D47"/>
    <w:rsid w:val="0095681E"/>
    <w:rsid w:val="009572D4"/>
    <w:rsid w:val="00961921"/>
    <w:rsid w:val="0096430A"/>
    <w:rsid w:val="0096554B"/>
    <w:rsid w:val="0096584A"/>
    <w:rsid w:val="00970CD7"/>
    <w:rsid w:val="00971F08"/>
    <w:rsid w:val="00974086"/>
    <w:rsid w:val="0097603D"/>
    <w:rsid w:val="00976949"/>
    <w:rsid w:val="00980477"/>
    <w:rsid w:val="00985253"/>
    <w:rsid w:val="009853B3"/>
    <w:rsid w:val="00985DA0"/>
    <w:rsid w:val="00990630"/>
    <w:rsid w:val="00991761"/>
    <w:rsid w:val="00994DCA"/>
    <w:rsid w:val="00996081"/>
    <w:rsid w:val="009960EC"/>
    <w:rsid w:val="009970DD"/>
    <w:rsid w:val="009A0FBA"/>
    <w:rsid w:val="009A1601"/>
    <w:rsid w:val="009A3BB6"/>
    <w:rsid w:val="009A462D"/>
    <w:rsid w:val="009A5CBA"/>
    <w:rsid w:val="009A6B82"/>
    <w:rsid w:val="009A7028"/>
    <w:rsid w:val="009B1F30"/>
    <w:rsid w:val="009B3AC2"/>
    <w:rsid w:val="009B4B07"/>
    <w:rsid w:val="009B4DF4"/>
    <w:rsid w:val="009B564E"/>
    <w:rsid w:val="009B7E87"/>
    <w:rsid w:val="009C0169"/>
    <w:rsid w:val="009C403E"/>
    <w:rsid w:val="009C6651"/>
    <w:rsid w:val="009D4FF0"/>
    <w:rsid w:val="009D703C"/>
    <w:rsid w:val="009D718F"/>
    <w:rsid w:val="009E068F"/>
    <w:rsid w:val="009E14E0"/>
    <w:rsid w:val="009E35DB"/>
    <w:rsid w:val="009E47A3"/>
    <w:rsid w:val="009F08F3"/>
    <w:rsid w:val="009F344F"/>
    <w:rsid w:val="009F66CB"/>
    <w:rsid w:val="00A031D8"/>
    <w:rsid w:val="00A048A8"/>
    <w:rsid w:val="00A04F49"/>
    <w:rsid w:val="00A11C60"/>
    <w:rsid w:val="00A132A0"/>
    <w:rsid w:val="00A13E54"/>
    <w:rsid w:val="00A153F8"/>
    <w:rsid w:val="00A17F63"/>
    <w:rsid w:val="00A2193B"/>
    <w:rsid w:val="00A21A7C"/>
    <w:rsid w:val="00A2351A"/>
    <w:rsid w:val="00A264A9"/>
    <w:rsid w:val="00A26917"/>
    <w:rsid w:val="00A26DCF"/>
    <w:rsid w:val="00A27785"/>
    <w:rsid w:val="00A30187"/>
    <w:rsid w:val="00A3448A"/>
    <w:rsid w:val="00A36297"/>
    <w:rsid w:val="00A41E2B"/>
    <w:rsid w:val="00A422A3"/>
    <w:rsid w:val="00A457D2"/>
    <w:rsid w:val="00A45B74"/>
    <w:rsid w:val="00A479A6"/>
    <w:rsid w:val="00A52E1D"/>
    <w:rsid w:val="00A56913"/>
    <w:rsid w:val="00A57B05"/>
    <w:rsid w:val="00A61499"/>
    <w:rsid w:val="00A62A77"/>
    <w:rsid w:val="00A63483"/>
    <w:rsid w:val="00A657D7"/>
    <w:rsid w:val="00A660AC"/>
    <w:rsid w:val="00A67E6C"/>
    <w:rsid w:val="00A71114"/>
    <w:rsid w:val="00A71B99"/>
    <w:rsid w:val="00A7388E"/>
    <w:rsid w:val="00A739D0"/>
    <w:rsid w:val="00A761D4"/>
    <w:rsid w:val="00A77EC4"/>
    <w:rsid w:val="00A90AEE"/>
    <w:rsid w:val="00A92879"/>
    <w:rsid w:val="00A9442A"/>
    <w:rsid w:val="00AA016F"/>
    <w:rsid w:val="00AA1ED6"/>
    <w:rsid w:val="00AA3649"/>
    <w:rsid w:val="00AA51D6"/>
    <w:rsid w:val="00AB0BC8"/>
    <w:rsid w:val="00AB11CA"/>
    <w:rsid w:val="00AB14D9"/>
    <w:rsid w:val="00AB2AF0"/>
    <w:rsid w:val="00AB4AB8"/>
    <w:rsid w:val="00AB655E"/>
    <w:rsid w:val="00AB7AC5"/>
    <w:rsid w:val="00AC007F"/>
    <w:rsid w:val="00AC2ECD"/>
    <w:rsid w:val="00AC3119"/>
    <w:rsid w:val="00AC49FB"/>
    <w:rsid w:val="00AC5A10"/>
    <w:rsid w:val="00AD0AA3"/>
    <w:rsid w:val="00AD2ED0"/>
    <w:rsid w:val="00AD3F94"/>
    <w:rsid w:val="00AD4A5A"/>
    <w:rsid w:val="00AD5CF1"/>
    <w:rsid w:val="00AD7718"/>
    <w:rsid w:val="00AE27AC"/>
    <w:rsid w:val="00AE3821"/>
    <w:rsid w:val="00AE40E0"/>
    <w:rsid w:val="00AE4DBA"/>
    <w:rsid w:val="00AE4F07"/>
    <w:rsid w:val="00AF1C5D"/>
    <w:rsid w:val="00AF42D7"/>
    <w:rsid w:val="00B006FE"/>
    <w:rsid w:val="00B007CB"/>
    <w:rsid w:val="00B023A1"/>
    <w:rsid w:val="00B02AA9"/>
    <w:rsid w:val="00B02FA3"/>
    <w:rsid w:val="00B05084"/>
    <w:rsid w:val="00B06C97"/>
    <w:rsid w:val="00B157F9"/>
    <w:rsid w:val="00B159D0"/>
    <w:rsid w:val="00B20256"/>
    <w:rsid w:val="00B20D09"/>
    <w:rsid w:val="00B2763F"/>
    <w:rsid w:val="00B27AAC"/>
    <w:rsid w:val="00B30929"/>
    <w:rsid w:val="00B30D2B"/>
    <w:rsid w:val="00B31802"/>
    <w:rsid w:val="00B31B81"/>
    <w:rsid w:val="00B372AA"/>
    <w:rsid w:val="00B40445"/>
    <w:rsid w:val="00B409E0"/>
    <w:rsid w:val="00B40F70"/>
    <w:rsid w:val="00B41888"/>
    <w:rsid w:val="00B45A52"/>
    <w:rsid w:val="00B45DD2"/>
    <w:rsid w:val="00B46175"/>
    <w:rsid w:val="00B548B7"/>
    <w:rsid w:val="00B61870"/>
    <w:rsid w:val="00B654B1"/>
    <w:rsid w:val="00B664C7"/>
    <w:rsid w:val="00B73503"/>
    <w:rsid w:val="00B739F6"/>
    <w:rsid w:val="00B75FA3"/>
    <w:rsid w:val="00B81A6C"/>
    <w:rsid w:val="00B83975"/>
    <w:rsid w:val="00B85DE5"/>
    <w:rsid w:val="00B90F73"/>
    <w:rsid w:val="00B93A2C"/>
    <w:rsid w:val="00B93B59"/>
    <w:rsid w:val="00B9406A"/>
    <w:rsid w:val="00BA2280"/>
    <w:rsid w:val="00BA2A08"/>
    <w:rsid w:val="00BA56D2"/>
    <w:rsid w:val="00BA69DD"/>
    <w:rsid w:val="00BA7172"/>
    <w:rsid w:val="00BA76E0"/>
    <w:rsid w:val="00BB2A25"/>
    <w:rsid w:val="00BB51E9"/>
    <w:rsid w:val="00BC0FDC"/>
    <w:rsid w:val="00BC3053"/>
    <w:rsid w:val="00BC4D2E"/>
    <w:rsid w:val="00BD48AC"/>
    <w:rsid w:val="00BD5F1A"/>
    <w:rsid w:val="00BE1234"/>
    <w:rsid w:val="00BE135D"/>
    <w:rsid w:val="00BE2FA6"/>
    <w:rsid w:val="00BE333F"/>
    <w:rsid w:val="00BE60B7"/>
    <w:rsid w:val="00BE7406"/>
    <w:rsid w:val="00BE7603"/>
    <w:rsid w:val="00BF3279"/>
    <w:rsid w:val="00BF3900"/>
    <w:rsid w:val="00BF74C7"/>
    <w:rsid w:val="00C015F1"/>
    <w:rsid w:val="00C01F33"/>
    <w:rsid w:val="00C02CC6"/>
    <w:rsid w:val="00C0361D"/>
    <w:rsid w:val="00C040F7"/>
    <w:rsid w:val="00C044AB"/>
    <w:rsid w:val="00C04E83"/>
    <w:rsid w:val="00C05706"/>
    <w:rsid w:val="00C06081"/>
    <w:rsid w:val="00C065FF"/>
    <w:rsid w:val="00C07377"/>
    <w:rsid w:val="00C10478"/>
    <w:rsid w:val="00C11B90"/>
    <w:rsid w:val="00C11DA7"/>
    <w:rsid w:val="00C12107"/>
    <w:rsid w:val="00C14D4B"/>
    <w:rsid w:val="00C154BB"/>
    <w:rsid w:val="00C15FF9"/>
    <w:rsid w:val="00C279B5"/>
    <w:rsid w:val="00C27C45"/>
    <w:rsid w:val="00C30876"/>
    <w:rsid w:val="00C30FB8"/>
    <w:rsid w:val="00C328E3"/>
    <w:rsid w:val="00C33462"/>
    <w:rsid w:val="00C33D2A"/>
    <w:rsid w:val="00C3719D"/>
    <w:rsid w:val="00C37CB2"/>
    <w:rsid w:val="00C473A5"/>
    <w:rsid w:val="00C54995"/>
    <w:rsid w:val="00C54D41"/>
    <w:rsid w:val="00C60783"/>
    <w:rsid w:val="00C61BB4"/>
    <w:rsid w:val="00C64672"/>
    <w:rsid w:val="00C70697"/>
    <w:rsid w:val="00C72093"/>
    <w:rsid w:val="00C72270"/>
    <w:rsid w:val="00C725D8"/>
    <w:rsid w:val="00C72EF4"/>
    <w:rsid w:val="00C744FE"/>
    <w:rsid w:val="00C75D2F"/>
    <w:rsid w:val="00C767BE"/>
    <w:rsid w:val="00C76E3C"/>
    <w:rsid w:val="00C81568"/>
    <w:rsid w:val="00C856BD"/>
    <w:rsid w:val="00C86BD7"/>
    <w:rsid w:val="00C9027A"/>
    <w:rsid w:val="00C9068E"/>
    <w:rsid w:val="00C90A2A"/>
    <w:rsid w:val="00C93814"/>
    <w:rsid w:val="00C93C4B"/>
    <w:rsid w:val="00C944AB"/>
    <w:rsid w:val="00C95B40"/>
    <w:rsid w:val="00C95E61"/>
    <w:rsid w:val="00CA1ED8"/>
    <w:rsid w:val="00CA70A7"/>
    <w:rsid w:val="00CB1F63"/>
    <w:rsid w:val="00CB7170"/>
    <w:rsid w:val="00CC040E"/>
    <w:rsid w:val="00CC111F"/>
    <w:rsid w:val="00CC2011"/>
    <w:rsid w:val="00CC3EA0"/>
    <w:rsid w:val="00CC7B45"/>
    <w:rsid w:val="00CD1188"/>
    <w:rsid w:val="00CD2ED1"/>
    <w:rsid w:val="00CD337B"/>
    <w:rsid w:val="00CD4F44"/>
    <w:rsid w:val="00CE0424"/>
    <w:rsid w:val="00CE7561"/>
    <w:rsid w:val="00CF1053"/>
    <w:rsid w:val="00CF1354"/>
    <w:rsid w:val="00CF3B1F"/>
    <w:rsid w:val="00CF3BF6"/>
    <w:rsid w:val="00CF625B"/>
    <w:rsid w:val="00CF687E"/>
    <w:rsid w:val="00D0349B"/>
    <w:rsid w:val="00D05A02"/>
    <w:rsid w:val="00D10249"/>
    <w:rsid w:val="00D102ED"/>
    <w:rsid w:val="00D115C3"/>
    <w:rsid w:val="00D11897"/>
    <w:rsid w:val="00D13135"/>
    <w:rsid w:val="00D13E4E"/>
    <w:rsid w:val="00D239A7"/>
    <w:rsid w:val="00D23F47"/>
    <w:rsid w:val="00D24E57"/>
    <w:rsid w:val="00D31743"/>
    <w:rsid w:val="00D32EB8"/>
    <w:rsid w:val="00D34136"/>
    <w:rsid w:val="00D36E71"/>
    <w:rsid w:val="00D377F2"/>
    <w:rsid w:val="00D37D87"/>
    <w:rsid w:val="00D40B33"/>
    <w:rsid w:val="00D40FC6"/>
    <w:rsid w:val="00D4318F"/>
    <w:rsid w:val="00D438BF"/>
    <w:rsid w:val="00D440F8"/>
    <w:rsid w:val="00D51EA3"/>
    <w:rsid w:val="00D546FF"/>
    <w:rsid w:val="00D55AD5"/>
    <w:rsid w:val="00D57647"/>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97DA6"/>
    <w:rsid w:val="00DA305E"/>
    <w:rsid w:val="00DA5417"/>
    <w:rsid w:val="00DA56E8"/>
    <w:rsid w:val="00DB0A9F"/>
    <w:rsid w:val="00DB377D"/>
    <w:rsid w:val="00DB69BA"/>
    <w:rsid w:val="00DC2D36"/>
    <w:rsid w:val="00DC31C1"/>
    <w:rsid w:val="00DC53EF"/>
    <w:rsid w:val="00DE5608"/>
    <w:rsid w:val="00DE58D0"/>
    <w:rsid w:val="00DE654F"/>
    <w:rsid w:val="00DE71F8"/>
    <w:rsid w:val="00DF0B6E"/>
    <w:rsid w:val="00DF15E0"/>
    <w:rsid w:val="00DF37A0"/>
    <w:rsid w:val="00DF39B9"/>
    <w:rsid w:val="00DF6BA7"/>
    <w:rsid w:val="00E029F9"/>
    <w:rsid w:val="00E110E7"/>
    <w:rsid w:val="00E11B20"/>
    <w:rsid w:val="00E1785D"/>
    <w:rsid w:val="00E17FA2"/>
    <w:rsid w:val="00E22330"/>
    <w:rsid w:val="00E235BD"/>
    <w:rsid w:val="00E30B5A"/>
    <w:rsid w:val="00E3123D"/>
    <w:rsid w:val="00E31461"/>
    <w:rsid w:val="00E31D43"/>
    <w:rsid w:val="00E32608"/>
    <w:rsid w:val="00E339F2"/>
    <w:rsid w:val="00E34188"/>
    <w:rsid w:val="00E344C4"/>
    <w:rsid w:val="00E34B6E"/>
    <w:rsid w:val="00E35559"/>
    <w:rsid w:val="00E3723A"/>
    <w:rsid w:val="00E37860"/>
    <w:rsid w:val="00E446F1"/>
    <w:rsid w:val="00E46886"/>
    <w:rsid w:val="00E47AEF"/>
    <w:rsid w:val="00E53B75"/>
    <w:rsid w:val="00E54E3B"/>
    <w:rsid w:val="00E57565"/>
    <w:rsid w:val="00E61225"/>
    <w:rsid w:val="00E63838"/>
    <w:rsid w:val="00E641FD"/>
    <w:rsid w:val="00E64434"/>
    <w:rsid w:val="00E662FD"/>
    <w:rsid w:val="00E67C51"/>
    <w:rsid w:val="00E72EFC"/>
    <w:rsid w:val="00E758EC"/>
    <w:rsid w:val="00E76B6D"/>
    <w:rsid w:val="00E76CF6"/>
    <w:rsid w:val="00E77DD4"/>
    <w:rsid w:val="00E8234C"/>
    <w:rsid w:val="00E83AA9"/>
    <w:rsid w:val="00E83BD7"/>
    <w:rsid w:val="00E85928"/>
    <w:rsid w:val="00E8620E"/>
    <w:rsid w:val="00E87822"/>
    <w:rsid w:val="00E90395"/>
    <w:rsid w:val="00E90E49"/>
    <w:rsid w:val="00E917F9"/>
    <w:rsid w:val="00E9291C"/>
    <w:rsid w:val="00E93FFE"/>
    <w:rsid w:val="00E94F8A"/>
    <w:rsid w:val="00EA5F00"/>
    <w:rsid w:val="00EA7A41"/>
    <w:rsid w:val="00EB0635"/>
    <w:rsid w:val="00EB077B"/>
    <w:rsid w:val="00EB4EA2"/>
    <w:rsid w:val="00EC24D5"/>
    <w:rsid w:val="00EC27C6"/>
    <w:rsid w:val="00EC3D8F"/>
    <w:rsid w:val="00EC4207"/>
    <w:rsid w:val="00EC5653"/>
    <w:rsid w:val="00EC71CE"/>
    <w:rsid w:val="00ED0552"/>
    <w:rsid w:val="00ED1006"/>
    <w:rsid w:val="00EE70F5"/>
    <w:rsid w:val="00EF0930"/>
    <w:rsid w:val="00EF18FE"/>
    <w:rsid w:val="00EF5787"/>
    <w:rsid w:val="00EF60D0"/>
    <w:rsid w:val="00F0528D"/>
    <w:rsid w:val="00F06C67"/>
    <w:rsid w:val="00F06DFD"/>
    <w:rsid w:val="00F071D1"/>
    <w:rsid w:val="00F07533"/>
    <w:rsid w:val="00F10629"/>
    <w:rsid w:val="00F10C89"/>
    <w:rsid w:val="00F15FA5"/>
    <w:rsid w:val="00F209B7"/>
    <w:rsid w:val="00F223E0"/>
    <w:rsid w:val="00F2376F"/>
    <w:rsid w:val="00F23F29"/>
    <w:rsid w:val="00F243D8"/>
    <w:rsid w:val="00F30828"/>
    <w:rsid w:val="00F313D6"/>
    <w:rsid w:val="00F40F0C"/>
    <w:rsid w:val="00F42AA6"/>
    <w:rsid w:val="00F4766C"/>
    <w:rsid w:val="00F5060E"/>
    <w:rsid w:val="00F507D1"/>
    <w:rsid w:val="00F519CE"/>
    <w:rsid w:val="00F51ADA"/>
    <w:rsid w:val="00F56E32"/>
    <w:rsid w:val="00F60203"/>
    <w:rsid w:val="00F607C5"/>
    <w:rsid w:val="00F60DEA"/>
    <w:rsid w:val="00F62332"/>
    <w:rsid w:val="00F6302A"/>
    <w:rsid w:val="00F63950"/>
    <w:rsid w:val="00F64C2B"/>
    <w:rsid w:val="00F651BE"/>
    <w:rsid w:val="00F67F53"/>
    <w:rsid w:val="00F703BE"/>
    <w:rsid w:val="00F71F69"/>
    <w:rsid w:val="00F72B72"/>
    <w:rsid w:val="00F74BB9"/>
    <w:rsid w:val="00F7529C"/>
    <w:rsid w:val="00F75582"/>
    <w:rsid w:val="00F76EFA"/>
    <w:rsid w:val="00F77FD5"/>
    <w:rsid w:val="00F804BE"/>
    <w:rsid w:val="00F817CE"/>
    <w:rsid w:val="00F82D96"/>
    <w:rsid w:val="00F8456C"/>
    <w:rsid w:val="00F85460"/>
    <w:rsid w:val="00F8586A"/>
    <w:rsid w:val="00F859D8"/>
    <w:rsid w:val="00F868F5"/>
    <w:rsid w:val="00F9056A"/>
    <w:rsid w:val="00F90F8D"/>
    <w:rsid w:val="00F92782"/>
    <w:rsid w:val="00F93AA9"/>
    <w:rsid w:val="00F96985"/>
    <w:rsid w:val="00F97838"/>
    <w:rsid w:val="00FA188A"/>
    <w:rsid w:val="00FA2BB3"/>
    <w:rsid w:val="00FB212E"/>
    <w:rsid w:val="00FB4C80"/>
    <w:rsid w:val="00FB6A6A"/>
    <w:rsid w:val="00FC7429"/>
    <w:rsid w:val="00FD07F6"/>
    <w:rsid w:val="00FD1EC8"/>
    <w:rsid w:val="00FD47ED"/>
    <w:rsid w:val="00FD74DB"/>
    <w:rsid w:val="00FD7660"/>
    <w:rsid w:val="00FE0655"/>
    <w:rsid w:val="00FE2365"/>
    <w:rsid w:val="00FE37D7"/>
    <w:rsid w:val="00FE4C7B"/>
    <w:rsid w:val="00FE5250"/>
    <w:rsid w:val="00FE7336"/>
    <w:rsid w:val="00FE787C"/>
    <w:rsid w:val="00FF45A5"/>
    <w:rsid w:val="00FF5C91"/>
    <w:rsid w:val="00FF768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0E063"/>
  <w15:chartTrackingRefBased/>
  <w15:docId w15:val="{416A2DEE-26AE-41EF-8D89-0ED711B7F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A717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A71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A7172"/>
    <w:pPr>
      <w:pBdr>
        <w:top w:val="none" w:sz="0" w:space="0" w:color="auto"/>
      </w:pBdr>
      <w:spacing w:before="180"/>
      <w:outlineLvl w:val="1"/>
    </w:pPr>
    <w:rPr>
      <w:sz w:val="32"/>
    </w:rPr>
  </w:style>
  <w:style w:type="paragraph" w:styleId="Heading3">
    <w:name w:val="heading 3"/>
    <w:basedOn w:val="Heading2"/>
    <w:next w:val="Normal"/>
    <w:link w:val="Heading3Char"/>
    <w:qFormat/>
    <w:rsid w:val="00BA7172"/>
    <w:pPr>
      <w:spacing w:before="120"/>
      <w:outlineLvl w:val="2"/>
    </w:pPr>
    <w:rPr>
      <w:sz w:val="28"/>
    </w:rPr>
  </w:style>
  <w:style w:type="paragraph" w:styleId="Heading4">
    <w:name w:val="heading 4"/>
    <w:basedOn w:val="Heading3"/>
    <w:next w:val="Normal"/>
    <w:link w:val="Heading4Char"/>
    <w:qFormat/>
    <w:rsid w:val="00BA7172"/>
    <w:pPr>
      <w:ind w:left="1418" w:hanging="1418"/>
      <w:outlineLvl w:val="3"/>
    </w:pPr>
    <w:rPr>
      <w:sz w:val="24"/>
    </w:rPr>
  </w:style>
  <w:style w:type="paragraph" w:styleId="Heading5">
    <w:name w:val="heading 5"/>
    <w:basedOn w:val="Heading4"/>
    <w:next w:val="Normal"/>
    <w:link w:val="Heading5Char"/>
    <w:qFormat/>
    <w:rsid w:val="00BA7172"/>
    <w:pPr>
      <w:ind w:left="1701" w:hanging="1701"/>
      <w:outlineLvl w:val="4"/>
    </w:pPr>
    <w:rPr>
      <w:sz w:val="22"/>
    </w:rPr>
  </w:style>
  <w:style w:type="paragraph" w:styleId="Heading6">
    <w:name w:val="heading 6"/>
    <w:basedOn w:val="H6"/>
    <w:next w:val="Normal"/>
    <w:link w:val="Heading6Char"/>
    <w:qFormat/>
    <w:rsid w:val="00BA7172"/>
    <w:pPr>
      <w:outlineLvl w:val="5"/>
    </w:pPr>
  </w:style>
  <w:style w:type="paragraph" w:styleId="Heading7">
    <w:name w:val="heading 7"/>
    <w:basedOn w:val="H6"/>
    <w:next w:val="Normal"/>
    <w:link w:val="Heading7Char"/>
    <w:qFormat/>
    <w:rsid w:val="00BA7172"/>
    <w:pPr>
      <w:outlineLvl w:val="6"/>
    </w:pPr>
  </w:style>
  <w:style w:type="paragraph" w:styleId="Heading8">
    <w:name w:val="heading 8"/>
    <w:basedOn w:val="Heading1"/>
    <w:next w:val="Normal"/>
    <w:link w:val="Heading8Char"/>
    <w:qFormat/>
    <w:rsid w:val="00BA7172"/>
    <w:pPr>
      <w:ind w:left="0" w:firstLine="0"/>
      <w:outlineLvl w:val="7"/>
    </w:pPr>
  </w:style>
  <w:style w:type="paragraph" w:styleId="Heading9">
    <w:name w:val="heading 9"/>
    <w:basedOn w:val="Heading8"/>
    <w:next w:val="Normal"/>
    <w:link w:val="Heading9Char"/>
    <w:qFormat/>
    <w:rsid w:val="00BA71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BA7172"/>
    <w:pPr>
      <w:spacing w:before="180"/>
      <w:ind w:left="2693" w:hanging="2693"/>
    </w:pPr>
    <w:rPr>
      <w:b/>
    </w:rPr>
  </w:style>
  <w:style w:type="paragraph" w:styleId="TOC1">
    <w:name w:val="toc 1"/>
    <w:uiPriority w:val="39"/>
    <w:rsid w:val="00BA71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A7172"/>
    <w:pPr>
      <w:keepNext/>
      <w:keepLines/>
      <w:spacing w:before="180"/>
      <w:jc w:val="center"/>
    </w:pPr>
  </w:style>
  <w:style w:type="paragraph" w:styleId="Caption">
    <w:name w:val="caption"/>
    <w:basedOn w:val="Normal"/>
    <w:next w:val="Normal"/>
    <w:qFormat/>
    <w:rsid w:val="00BA7172"/>
    <w:pPr>
      <w:spacing w:before="120" w:after="120"/>
    </w:pPr>
    <w:rPr>
      <w:b/>
      <w:lang w:eastAsia="en-GB"/>
    </w:rPr>
  </w:style>
  <w:style w:type="paragraph" w:styleId="TOC5">
    <w:name w:val="toc 5"/>
    <w:basedOn w:val="TOC4"/>
    <w:uiPriority w:val="39"/>
    <w:rsid w:val="00BA7172"/>
    <w:pPr>
      <w:ind w:left="1701" w:hanging="1701"/>
    </w:pPr>
  </w:style>
  <w:style w:type="paragraph" w:styleId="TOC4">
    <w:name w:val="toc 4"/>
    <w:basedOn w:val="TOC3"/>
    <w:uiPriority w:val="39"/>
    <w:rsid w:val="00BA7172"/>
    <w:pPr>
      <w:ind w:left="1418" w:hanging="1418"/>
    </w:pPr>
  </w:style>
  <w:style w:type="paragraph" w:styleId="TOC3">
    <w:name w:val="toc 3"/>
    <w:basedOn w:val="TOC2"/>
    <w:uiPriority w:val="39"/>
    <w:rsid w:val="00BA7172"/>
    <w:pPr>
      <w:ind w:left="1134" w:hanging="1134"/>
    </w:pPr>
  </w:style>
  <w:style w:type="paragraph" w:styleId="TOC2">
    <w:name w:val="toc 2"/>
    <w:basedOn w:val="TOC1"/>
    <w:uiPriority w:val="39"/>
    <w:rsid w:val="00BA7172"/>
    <w:pPr>
      <w:keepNext w:val="0"/>
      <w:spacing w:before="0"/>
      <w:ind w:left="851" w:hanging="851"/>
    </w:pPr>
    <w:rPr>
      <w:sz w:val="20"/>
    </w:rPr>
  </w:style>
  <w:style w:type="paragraph" w:styleId="Index2">
    <w:name w:val="index 2"/>
    <w:basedOn w:val="Index1"/>
    <w:rsid w:val="00BA7172"/>
    <w:pPr>
      <w:ind w:left="284"/>
    </w:pPr>
  </w:style>
  <w:style w:type="paragraph" w:styleId="Index1">
    <w:name w:val="index 1"/>
    <w:basedOn w:val="Normal"/>
    <w:rsid w:val="00BA7172"/>
    <w:pPr>
      <w:keepLines/>
      <w:spacing w:after="0"/>
    </w:pPr>
  </w:style>
  <w:style w:type="paragraph" w:styleId="DocumentMap">
    <w:name w:val="Document Map"/>
    <w:basedOn w:val="Normal"/>
    <w:link w:val="DocumentMapChar"/>
    <w:rsid w:val="00BA7172"/>
    <w:pPr>
      <w:shd w:val="clear" w:color="auto" w:fill="000080"/>
    </w:pPr>
    <w:rPr>
      <w:rFonts w:ascii="Tahoma" w:hAnsi="Tahoma" w:cs="Tahoma"/>
    </w:rPr>
  </w:style>
  <w:style w:type="paragraph" w:styleId="ListNumber2">
    <w:name w:val="List Number 2"/>
    <w:basedOn w:val="ListNumber"/>
    <w:rsid w:val="00BA7172"/>
    <w:pPr>
      <w:numPr>
        <w:numId w:val="12"/>
      </w:numPr>
    </w:pPr>
  </w:style>
  <w:style w:type="paragraph" w:styleId="ListNumber">
    <w:name w:val="List Number"/>
    <w:basedOn w:val="List"/>
    <w:rsid w:val="00BA7172"/>
    <w:pPr>
      <w:numPr>
        <w:numId w:val="11"/>
      </w:numPr>
    </w:pPr>
    <w:rPr>
      <w:lang w:eastAsia="ja-JP"/>
    </w:rPr>
  </w:style>
  <w:style w:type="paragraph" w:styleId="List">
    <w:name w:val="List"/>
    <w:basedOn w:val="BodyText"/>
    <w:rsid w:val="00BA7172"/>
    <w:pPr>
      <w:ind w:left="568" w:hanging="284"/>
    </w:pPr>
  </w:style>
  <w:style w:type="paragraph" w:styleId="Header">
    <w:name w:val="header"/>
    <w:link w:val="HeaderChar"/>
    <w:rsid w:val="00BA7172"/>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A7172"/>
    <w:rPr>
      <w:b/>
      <w:position w:val="6"/>
      <w:sz w:val="16"/>
    </w:rPr>
  </w:style>
  <w:style w:type="paragraph" w:styleId="FootnoteText">
    <w:name w:val="footnote text"/>
    <w:basedOn w:val="Normal"/>
    <w:link w:val="FootnoteTextChar"/>
    <w:rsid w:val="00BA7172"/>
    <w:pPr>
      <w:keepLines/>
      <w:spacing w:after="0"/>
      <w:ind w:left="454" w:hanging="454"/>
    </w:pPr>
    <w:rPr>
      <w:sz w:val="16"/>
    </w:rPr>
  </w:style>
  <w:style w:type="paragraph" w:customStyle="1" w:styleId="3GPPHeader">
    <w:name w:val="3GPP_Header"/>
    <w:basedOn w:val="BodyText"/>
    <w:rsid w:val="00BA7172"/>
    <w:pPr>
      <w:tabs>
        <w:tab w:val="left" w:pos="1701"/>
        <w:tab w:val="right" w:pos="9639"/>
      </w:tabs>
      <w:spacing w:after="240"/>
    </w:pPr>
    <w:rPr>
      <w:b/>
      <w:sz w:val="24"/>
    </w:rPr>
  </w:style>
  <w:style w:type="paragraph" w:styleId="TOC9">
    <w:name w:val="toc 9"/>
    <w:basedOn w:val="TOC8"/>
    <w:uiPriority w:val="39"/>
    <w:rsid w:val="00BA7172"/>
    <w:pPr>
      <w:ind w:left="1418" w:hanging="1418"/>
    </w:pPr>
  </w:style>
  <w:style w:type="paragraph" w:styleId="TOC6">
    <w:name w:val="toc 6"/>
    <w:basedOn w:val="TOC5"/>
    <w:next w:val="Normal"/>
    <w:uiPriority w:val="39"/>
    <w:rsid w:val="00BA7172"/>
    <w:pPr>
      <w:ind w:left="1985" w:hanging="1985"/>
    </w:pPr>
  </w:style>
  <w:style w:type="paragraph" w:styleId="TOC7">
    <w:name w:val="toc 7"/>
    <w:basedOn w:val="TOC6"/>
    <w:next w:val="Normal"/>
    <w:uiPriority w:val="39"/>
    <w:rsid w:val="00BA7172"/>
    <w:pPr>
      <w:ind w:left="2268" w:hanging="2268"/>
    </w:pPr>
  </w:style>
  <w:style w:type="paragraph" w:styleId="ListBullet2">
    <w:name w:val="List Bullet 2"/>
    <w:basedOn w:val="ListBullet"/>
    <w:rsid w:val="00BA7172"/>
    <w:pPr>
      <w:numPr>
        <w:numId w:val="7"/>
      </w:numPr>
    </w:pPr>
  </w:style>
  <w:style w:type="paragraph" w:styleId="ListBullet">
    <w:name w:val="List Bullet"/>
    <w:basedOn w:val="List"/>
    <w:rsid w:val="00BA7172"/>
    <w:pPr>
      <w:numPr>
        <w:numId w:val="6"/>
      </w:numPr>
    </w:pPr>
    <w:rPr>
      <w:lang w:eastAsia="ja-JP"/>
    </w:rPr>
  </w:style>
  <w:style w:type="paragraph" w:styleId="ListBullet3">
    <w:name w:val="List Bullet 3"/>
    <w:basedOn w:val="ListBullet2"/>
    <w:rsid w:val="00BA7172"/>
    <w:pPr>
      <w:numPr>
        <w:numId w:val="8"/>
      </w:numPr>
    </w:pPr>
  </w:style>
  <w:style w:type="paragraph" w:customStyle="1" w:styleId="EQ">
    <w:name w:val="EQ"/>
    <w:basedOn w:val="Normal"/>
    <w:next w:val="Normal"/>
    <w:rsid w:val="00BA7172"/>
    <w:pPr>
      <w:keepLines/>
      <w:tabs>
        <w:tab w:val="center" w:pos="4536"/>
        <w:tab w:val="right" w:pos="9072"/>
      </w:tabs>
    </w:pPr>
    <w:rPr>
      <w:noProof/>
    </w:rPr>
  </w:style>
  <w:style w:type="paragraph" w:styleId="List2">
    <w:name w:val="List 2"/>
    <w:basedOn w:val="List"/>
    <w:rsid w:val="00BA7172"/>
    <w:pPr>
      <w:ind w:left="851"/>
    </w:pPr>
    <w:rPr>
      <w:lang w:eastAsia="ja-JP"/>
    </w:rPr>
  </w:style>
  <w:style w:type="paragraph" w:styleId="List3">
    <w:name w:val="List 3"/>
    <w:basedOn w:val="List2"/>
    <w:rsid w:val="00BA7172"/>
    <w:pPr>
      <w:ind w:left="1135"/>
    </w:pPr>
  </w:style>
  <w:style w:type="paragraph" w:styleId="List4">
    <w:name w:val="List 4"/>
    <w:basedOn w:val="List3"/>
    <w:rsid w:val="00BA7172"/>
    <w:pPr>
      <w:ind w:left="1418"/>
    </w:pPr>
  </w:style>
  <w:style w:type="paragraph" w:styleId="List5">
    <w:name w:val="List 5"/>
    <w:basedOn w:val="List4"/>
    <w:rsid w:val="00BA7172"/>
    <w:pPr>
      <w:ind w:left="1702"/>
    </w:pPr>
  </w:style>
  <w:style w:type="paragraph" w:customStyle="1" w:styleId="EditorsNote">
    <w:name w:val="Editor's Note"/>
    <w:basedOn w:val="NO"/>
    <w:link w:val="EditorsNoteChar"/>
    <w:rsid w:val="00BA7172"/>
    <w:rPr>
      <w:color w:val="FF0000"/>
      <w:lang w:val="x-none" w:eastAsia="x-none"/>
    </w:rPr>
  </w:style>
  <w:style w:type="paragraph" w:styleId="ListBullet4">
    <w:name w:val="List Bullet 4"/>
    <w:basedOn w:val="ListBullet3"/>
    <w:rsid w:val="00BA7172"/>
    <w:pPr>
      <w:numPr>
        <w:numId w:val="9"/>
      </w:numPr>
    </w:pPr>
  </w:style>
  <w:style w:type="paragraph" w:styleId="ListBullet5">
    <w:name w:val="List Bullet 5"/>
    <w:basedOn w:val="ListBullet4"/>
    <w:rsid w:val="00BA7172"/>
    <w:pPr>
      <w:numPr>
        <w:numId w:val="10"/>
      </w:numPr>
    </w:pPr>
  </w:style>
  <w:style w:type="paragraph" w:styleId="Footer">
    <w:name w:val="footer"/>
    <w:basedOn w:val="Header"/>
    <w:link w:val="FooterChar"/>
    <w:rsid w:val="00BA7172"/>
    <w:pPr>
      <w:jc w:val="center"/>
    </w:pPr>
    <w:rPr>
      <w:i/>
    </w:rPr>
  </w:style>
  <w:style w:type="paragraph" w:customStyle="1" w:styleId="Reference">
    <w:name w:val="Reference"/>
    <w:basedOn w:val="BodyText"/>
    <w:link w:val="ReferenceChar"/>
    <w:qFormat/>
    <w:rsid w:val="00BA7172"/>
    <w:pPr>
      <w:numPr>
        <w:numId w:val="1"/>
      </w:numPr>
    </w:pPr>
  </w:style>
  <w:style w:type="paragraph" w:styleId="BalloonText">
    <w:name w:val="Balloon Text"/>
    <w:basedOn w:val="Normal"/>
    <w:link w:val="BalloonTextChar"/>
    <w:rsid w:val="00BA7172"/>
    <w:pPr>
      <w:spacing w:after="0"/>
    </w:pPr>
    <w:rPr>
      <w:rFonts w:ascii="Segoe UI" w:hAnsi="Segoe UI" w:cs="Segoe UI"/>
      <w:sz w:val="18"/>
      <w:szCs w:val="18"/>
    </w:rPr>
  </w:style>
  <w:style w:type="character" w:styleId="PageNumber">
    <w:name w:val="page number"/>
    <w:basedOn w:val="DefaultParagraphFont"/>
    <w:rsid w:val="00BA7172"/>
  </w:style>
  <w:style w:type="paragraph" w:styleId="BodyText">
    <w:name w:val="Body Text"/>
    <w:basedOn w:val="Normal"/>
    <w:link w:val="BodyTextChar"/>
    <w:rsid w:val="00BA7172"/>
    <w:pPr>
      <w:spacing w:after="120"/>
      <w:jc w:val="both"/>
    </w:pPr>
    <w:rPr>
      <w:rFonts w:ascii="Arial" w:hAnsi="Arial"/>
      <w:lang w:eastAsia="zh-CN"/>
    </w:rPr>
  </w:style>
  <w:style w:type="character" w:styleId="Hyperlink">
    <w:name w:val="Hyperlink"/>
    <w:uiPriority w:val="99"/>
    <w:rsid w:val="00BA7172"/>
    <w:rPr>
      <w:color w:val="0000FF"/>
      <w:u w:val="single"/>
    </w:rPr>
  </w:style>
  <w:style w:type="character" w:styleId="FollowedHyperlink">
    <w:name w:val="FollowedHyperlink"/>
    <w:unhideWhenUsed/>
    <w:rsid w:val="00BA7172"/>
    <w:rPr>
      <w:color w:val="800080"/>
      <w:u w:val="single"/>
    </w:rPr>
  </w:style>
  <w:style w:type="character" w:styleId="CommentReference">
    <w:name w:val="annotation reference"/>
    <w:uiPriority w:val="99"/>
    <w:qFormat/>
    <w:rsid w:val="00BA7172"/>
    <w:rPr>
      <w:sz w:val="16"/>
      <w:szCs w:val="16"/>
    </w:rPr>
  </w:style>
  <w:style w:type="paragraph" w:styleId="CommentText">
    <w:name w:val="annotation text"/>
    <w:basedOn w:val="Normal"/>
    <w:link w:val="CommentTextChar"/>
    <w:uiPriority w:val="99"/>
    <w:qFormat/>
    <w:rsid w:val="00BA7172"/>
  </w:style>
  <w:style w:type="paragraph" w:styleId="CommentSubject">
    <w:name w:val="annotation subject"/>
    <w:basedOn w:val="CommentText"/>
    <w:next w:val="CommentText"/>
    <w:link w:val="CommentSubjectChar"/>
    <w:rsid w:val="00BA7172"/>
    <w:rPr>
      <w:b/>
      <w:bCs/>
    </w:rPr>
  </w:style>
  <w:style w:type="character" w:customStyle="1" w:styleId="Heading1Char">
    <w:name w:val="Heading 1 Char"/>
    <w:link w:val="Heading1"/>
    <w:rsid w:val="00BA7172"/>
    <w:rPr>
      <w:rFonts w:ascii="Arial" w:hAnsi="Arial"/>
      <w:sz w:val="36"/>
      <w:lang w:eastAsia="ja-JP"/>
    </w:rPr>
  </w:style>
  <w:style w:type="paragraph" w:customStyle="1" w:styleId="B1">
    <w:name w:val="B1"/>
    <w:basedOn w:val="List"/>
    <w:link w:val="B1Char1"/>
    <w:rsid w:val="00BA7172"/>
    <w:rPr>
      <w:rFonts w:ascii="Times New Roman" w:hAnsi="Times New Roman"/>
    </w:rPr>
  </w:style>
  <w:style w:type="paragraph" w:customStyle="1" w:styleId="B2">
    <w:name w:val="B2"/>
    <w:basedOn w:val="List2"/>
    <w:link w:val="B2Char"/>
    <w:rsid w:val="00BA7172"/>
    <w:rPr>
      <w:rFonts w:ascii="Times New Roman" w:hAnsi="Times New Roman"/>
    </w:rPr>
  </w:style>
  <w:style w:type="paragraph" w:customStyle="1" w:styleId="B3">
    <w:name w:val="B3"/>
    <w:basedOn w:val="List3"/>
    <w:link w:val="B3Char2"/>
    <w:rsid w:val="00BA7172"/>
    <w:rPr>
      <w:rFonts w:ascii="Times New Roman" w:hAnsi="Times New Roman"/>
    </w:rPr>
  </w:style>
  <w:style w:type="paragraph" w:customStyle="1" w:styleId="B4">
    <w:name w:val="B4"/>
    <w:basedOn w:val="List4"/>
    <w:link w:val="B4Char"/>
    <w:rsid w:val="00BA7172"/>
    <w:rPr>
      <w:rFonts w:ascii="Times New Roman" w:hAnsi="Times New Roman"/>
    </w:rPr>
  </w:style>
  <w:style w:type="paragraph" w:customStyle="1" w:styleId="Proposal">
    <w:name w:val="Proposal"/>
    <w:basedOn w:val="BodyText"/>
    <w:qFormat/>
    <w:rsid w:val="00BA7172"/>
    <w:pPr>
      <w:numPr>
        <w:numId w:val="2"/>
      </w:numPr>
      <w:tabs>
        <w:tab w:val="left" w:pos="1701"/>
      </w:tabs>
    </w:pPr>
    <w:rPr>
      <w:b/>
      <w:bCs/>
    </w:rPr>
  </w:style>
  <w:style w:type="character" w:customStyle="1" w:styleId="BodyTextChar">
    <w:name w:val="Body Text Char"/>
    <w:link w:val="BodyText"/>
    <w:rsid w:val="00BA7172"/>
    <w:rPr>
      <w:rFonts w:ascii="Arial" w:hAnsi="Arial"/>
      <w:lang w:eastAsia="zh-CN"/>
    </w:rPr>
  </w:style>
  <w:style w:type="paragraph" w:customStyle="1" w:styleId="B5">
    <w:name w:val="B5"/>
    <w:basedOn w:val="List5"/>
    <w:link w:val="B5Char"/>
    <w:rsid w:val="00BA7172"/>
    <w:rPr>
      <w:rFonts w:ascii="Times New Roman" w:hAnsi="Times New Roman"/>
    </w:rPr>
  </w:style>
  <w:style w:type="paragraph" w:customStyle="1" w:styleId="EX">
    <w:name w:val="EX"/>
    <w:basedOn w:val="Normal"/>
    <w:rsid w:val="00BA7172"/>
    <w:pPr>
      <w:keepLines/>
      <w:ind w:left="1702" w:hanging="1418"/>
    </w:pPr>
  </w:style>
  <w:style w:type="paragraph" w:customStyle="1" w:styleId="EW">
    <w:name w:val="EW"/>
    <w:basedOn w:val="EX"/>
    <w:rsid w:val="00BA7172"/>
    <w:pPr>
      <w:spacing w:after="0"/>
    </w:pPr>
  </w:style>
  <w:style w:type="paragraph" w:customStyle="1" w:styleId="TAL">
    <w:name w:val="TAL"/>
    <w:basedOn w:val="Normal"/>
    <w:link w:val="TALCar"/>
    <w:rsid w:val="00BA7172"/>
    <w:pPr>
      <w:keepNext/>
      <w:keepLines/>
      <w:spacing w:after="0"/>
    </w:pPr>
    <w:rPr>
      <w:rFonts w:ascii="Arial" w:hAnsi="Arial"/>
      <w:sz w:val="18"/>
      <w:lang w:val="x-none" w:eastAsia="x-none"/>
    </w:rPr>
  </w:style>
  <w:style w:type="paragraph" w:customStyle="1" w:styleId="TAC">
    <w:name w:val="TAC"/>
    <w:basedOn w:val="TAL"/>
    <w:rsid w:val="00BA7172"/>
    <w:pPr>
      <w:jc w:val="center"/>
    </w:pPr>
  </w:style>
  <w:style w:type="paragraph" w:customStyle="1" w:styleId="TAH">
    <w:name w:val="TAH"/>
    <w:basedOn w:val="TAC"/>
    <w:link w:val="TAHCar"/>
    <w:rsid w:val="00BA7172"/>
    <w:rPr>
      <w:b/>
    </w:rPr>
  </w:style>
  <w:style w:type="paragraph" w:customStyle="1" w:styleId="TAN">
    <w:name w:val="TAN"/>
    <w:basedOn w:val="TAL"/>
    <w:rsid w:val="00BA7172"/>
    <w:pPr>
      <w:ind w:left="851" w:hanging="851"/>
    </w:pPr>
  </w:style>
  <w:style w:type="paragraph" w:customStyle="1" w:styleId="TAR">
    <w:name w:val="TAR"/>
    <w:basedOn w:val="TAL"/>
    <w:rsid w:val="00BA7172"/>
    <w:pPr>
      <w:jc w:val="right"/>
    </w:pPr>
  </w:style>
  <w:style w:type="paragraph" w:customStyle="1" w:styleId="TH">
    <w:name w:val="TH"/>
    <w:basedOn w:val="Normal"/>
    <w:link w:val="THChar"/>
    <w:rsid w:val="00BA7172"/>
    <w:pPr>
      <w:keepNext/>
      <w:keepLines/>
      <w:spacing w:before="60"/>
      <w:jc w:val="center"/>
    </w:pPr>
    <w:rPr>
      <w:rFonts w:ascii="Arial" w:hAnsi="Arial"/>
      <w:b/>
      <w:lang w:val="x-none" w:eastAsia="x-none"/>
    </w:rPr>
  </w:style>
  <w:style w:type="paragraph" w:customStyle="1" w:styleId="TF">
    <w:name w:val="TF"/>
    <w:basedOn w:val="TH"/>
    <w:link w:val="TFChar"/>
    <w:rsid w:val="00BA7172"/>
    <w:pPr>
      <w:keepNext w:val="0"/>
      <w:spacing w:before="0" w:after="240"/>
    </w:pPr>
  </w:style>
  <w:style w:type="paragraph" w:customStyle="1" w:styleId="TT">
    <w:name w:val="TT"/>
    <w:basedOn w:val="Heading1"/>
    <w:next w:val="Normal"/>
    <w:rsid w:val="00BA7172"/>
    <w:pPr>
      <w:outlineLvl w:val="9"/>
    </w:pPr>
  </w:style>
  <w:style w:type="paragraph" w:customStyle="1" w:styleId="ZA">
    <w:name w:val="ZA"/>
    <w:rsid w:val="00BA71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A71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A7172"/>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A71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A7172"/>
  </w:style>
  <w:style w:type="paragraph" w:customStyle="1" w:styleId="ZH">
    <w:name w:val="ZH"/>
    <w:rsid w:val="00BA7172"/>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A71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A7172"/>
    <w:pPr>
      <w:framePr w:hRule="auto" w:wrap="notBeside" w:y="852"/>
    </w:pPr>
    <w:rPr>
      <w:i w:val="0"/>
      <w:sz w:val="40"/>
    </w:rPr>
  </w:style>
  <w:style w:type="paragraph" w:customStyle="1" w:styleId="ZU">
    <w:name w:val="ZU"/>
    <w:rsid w:val="00BA71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A7172"/>
    <w:pPr>
      <w:framePr w:wrap="notBeside" w:y="16161"/>
    </w:pPr>
  </w:style>
  <w:style w:type="paragraph" w:customStyle="1" w:styleId="FP">
    <w:name w:val="FP"/>
    <w:basedOn w:val="Normal"/>
    <w:rsid w:val="00BA7172"/>
    <w:pPr>
      <w:spacing w:after="0"/>
    </w:pPr>
  </w:style>
  <w:style w:type="paragraph" w:customStyle="1" w:styleId="Observation">
    <w:name w:val="Observation"/>
    <w:basedOn w:val="Proposal"/>
    <w:qFormat/>
    <w:rsid w:val="00BA7172"/>
    <w:pPr>
      <w:numPr>
        <w:numId w:val="4"/>
      </w:numPr>
      <w:ind w:left="1701" w:hanging="1701"/>
    </w:pPr>
    <w:rPr>
      <w:lang w:eastAsia="ja-JP"/>
    </w:rPr>
  </w:style>
  <w:style w:type="paragraph" w:styleId="TableofFigures">
    <w:name w:val="table of figures"/>
    <w:basedOn w:val="BodyText"/>
    <w:next w:val="Normal"/>
    <w:uiPriority w:val="99"/>
    <w:rsid w:val="00BA7172"/>
    <w:pPr>
      <w:ind w:left="1701" w:hanging="1701"/>
      <w:jc w:val="left"/>
    </w:pPr>
    <w:rPr>
      <w:b/>
    </w:rPr>
  </w:style>
  <w:style w:type="character" w:customStyle="1" w:styleId="B1Char1">
    <w:name w:val="B1 Char1"/>
    <w:link w:val="B1"/>
    <w:qFormat/>
    <w:rsid w:val="00BA7172"/>
    <w:rPr>
      <w:rFonts w:ascii="Times New Roman" w:hAnsi="Times New Roman"/>
      <w:lang w:eastAsia="zh-CN"/>
    </w:rPr>
  </w:style>
  <w:style w:type="character" w:customStyle="1" w:styleId="B2Char">
    <w:name w:val="B2 Char"/>
    <w:link w:val="B2"/>
    <w:qFormat/>
    <w:rsid w:val="00BA7172"/>
    <w:rPr>
      <w:rFonts w:ascii="Times New Roman" w:hAnsi="Times New Roman"/>
      <w:lang w:eastAsia="ja-JP"/>
    </w:rPr>
  </w:style>
  <w:style w:type="character" w:customStyle="1" w:styleId="B3Char2">
    <w:name w:val="B3 Char2"/>
    <w:link w:val="B3"/>
    <w:qFormat/>
    <w:rsid w:val="00BA7172"/>
    <w:rPr>
      <w:rFonts w:ascii="Times New Roman" w:hAnsi="Times New Roman"/>
      <w:lang w:eastAsia="ja-JP"/>
    </w:rPr>
  </w:style>
  <w:style w:type="character" w:customStyle="1" w:styleId="B4Char">
    <w:name w:val="B4 Char"/>
    <w:link w:val="B4"/>
    <w:rsid w:val="00BA7172"/>
    <w:rPr>
      <w:rFonts w:ascii="Times New Roman" w:hAnsi="Times New Roman"/>
      <w:lang w:eastAsia="ja-JP"/>
    </w:rPr>
  </w:style>
  <w:style w:type="character" w:customStyle="1" w:styleId="B5Char">
    <w:name w:val="B5 Char"/>
    <w:link w:val="B5"/>
    <w:rsid w:val="00BA7172"/>
    <w:rPr>
      <w:rFonts w:ascii="Times New Roman" w:hAnsi="Times New Roman"/>
      <w:lang w:eastAsia="ja-JP"/>
    </w:rPr>
  </w:style>
  <w:style w:type="paragraph" w:customStyle="1" w:styleId="B6">
    <w:name w:val="B6"/>
    <w:basedOn w:val="B5"/>
    <w:link w:val="B6Char"/>
    <w:rsid w:val="00BA7172"/>
    <w:pPr>
      <w:ind w:left="1985"/>
    </w:pPr>
  </w:style>
  <w:style w:type="character" w:customStyle="1" w:styleId="B6Char">
    <w:name w:val="B6 Char"/>
    <w:link w:val="B6"/>
    <w:rsid w:val="00BA7172"/>
    <w:rPr>
      <w:rFonts w:ascii="Times New Roman" w:hAnsi="Times New Roman"/>
      <w:lang w:eastAsia="ja-JP"/>
    </w:rPr>
  </w:style>
  <w:style w:type="paragraph" w:customStyle="1" w:styleId="B7">
    <w:name w:val="B7"/>
    <w:basedOn w:val="B6"/>
    <w:link w:val="B7Char"/>
    <w:rsid w:val="00BA7172"/>
    <w:pPr>
      <w:ind w:left="2269"/>
    </w:pPr>
  </w:style>
  <w:style w:type="character" w:customStyle="1" w:styleId="B7Char">
    <w:name w:val="B7 Char"/>
    <w:basedOn w:val="B6Char"/>
    <w:link w:val="B7"/>
    <w:rsid w:val="00BA7172"/>
    <w:rPr>
      <w:rFonts w:ascii="Times New Roman" w:hAnsi="Times New Roman"/>
      <w:lang w:eastAsia="ja-JP"/>
    </w:rPr>
  </w:style>
  <w:style w:type="paragraph" w:customStyle="1" w:styleId="B8">
    <w:name w:val="B8"/>
    <w:basedOn w:val="B7"/>
    <w:qFormat/>
    <w:rsid w:val="00BA7172"/>
    <w:pPr>
      <w:ind w:left="2552"/>
    </w:pPr>
  </w:style>
  <w:style w:type="character" w:customStyle="1" w:styleId="BalloonTextChar">
    <w:name w:val="Balloon Text Char"/>
    <w:link w:val="BalloonText"/>
    <w:rsid w:val="00BA7172"/>
    <w:rPr>
      <w:rFonts w:ascii="Segoe UI" w:hAnsi="Segoe UI" w:cs="Segoe UI"/>
      <w:sz w:val="18"/>
      <w:szCs w:val="18"/>
      <w:lang w:eastAsia="ja-JP"/>
    </w:rPr>
  </w:style>
  <w:style w:type="character" w:customStyle="1" w:styleId="CommentTextChar">
    <w:name w:val="Comment Text Char"/>
    <w:link w:val="CommentText"/>
    <w:uiPriority w:val="99"/>
    <w:qFormat/>
    <w:rsid w:val="00BA7172"/>
    <w:rPr>
      <w:rFonts w:ascii="Times New Roman" w:hAnsi="Times New Roman"/>
      <w:lang w:eastAsia="ja-JP"/>
    </w:rPr>
  </w:style>
  <w:style w:type="character" w:customStyle="1" w:styleId="CommentSubjectChar">
    <w:name w:val="Comment Subject Char"/>
    <w:link w:val="CommentSubject"/>
    <w:rsid w:val="00BA7172"/>
    <w:rPr>
      <w:rFonts w:ascii="Times New Roman" w:hAnsi="Times New Roman"/>
      <w:b/>
      <w:bCs/>
      <w:lang w:eastAsia="ja-JP"/>
    </w:rPr>
  </w:style>
  <w:style w:type="paragraph" w:customStyle="1" w:styleId="CRCoverPage">
    <w:name w:val="CR Cover Page"/>
    <w:link w:val="CRCoverPageZchn"/>
    <w:rsid w:val="00BA7172"/>
    <w:pPr>
      <w:spacing w:after="120"/>
    </w:pPr>
    <w:rPr>
      <w:rFonts w:ascii="Arial" w:hAnsi="Arial"/>
      <w:lang w:eastAsia="ko-KR"/>
    </w:rPr>
  </w:style>
  <w:style w:type="character" w:customStyle="1" w:styleId="CRCoverPageZchn">
    <w:name w:val="CR Cover Page Zchn"/>
    <w:link w:val="CRCoverPage"/>
    <w:rsid w:val="00BA7172"/>
    <w:rPr>
      <w:rFonts w:ascii="Arial" w:hAnsi="Arial"/>
      <w:lang w:eastAsia="ko-KR"/>
    </w:rPr>
  </w:style>
  <w:style w:type="paragraph" w:customStyle="1" w:styleId="Doc-text2">
    <w:name w:val="Doc-text2"/>
    <w:basedOn w:val="Normal"/>
    <w:link w:val="Doc-text2Char"/>
    <w:qFormat/>
    <w:rsid w:val="00BA717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A7172"/>
    <w:rPr>
      <w:rFonts w:ascii="Arial" w:eastAsia="MS Mincho" w:hAnsi="Arial"/>
      <w:szCs w:val="24"/>
      <w:lang w:val="x-none" w:eastAsia="x-none"/>
    </w:rPr>
  </w:style>
  <w:style w:type="character" w:customStyle="1" w:styleId="DocumentMapChar">
    <w:name w:val="Document Map Char"/>
    <w:link w:val="DocumentMap"/>
    <w:rsid w:val="00BA7172"/>
    <w:rPr>
      <w:rFonts w:ascii="Tahoma" w:hAnsi="Tahoma" w:cs="Tahoma"/>
      <w:shd w:val="clear" w:color="auto" w:fill="000080"/>
      <w:lang w:eastAsia="ja-JP"/>
    </w:rPr>
  </w:style>
  <w:style w:type="paragraph" w:customStyle="1" w:styleId="NO">
    <w:name w:val="NO"/>
    <w:basedOn w:val="Normal"/>
    <w:link w:val="NOChar"/>
    <w:rsid w:val="00BA7172"/>
    <w:pPr>
      <w:keepLines/>
      <w:ind w:left="1135" w:hanging="851"/>
    </w:pPr>
  </w:style>
  <w:style w:type="character" w:customStyle="1" w:styleId="NOChar">
    <w:name w:val="NO Char"/>
    <w:link w:val="NO"/>
    <w:qFormat/>
    <w:rsid w:val="00BA7172"/>
    <w:rPr>
      <w:rFonts w:ascii="Times New Roman" w:hAnsi="Times New Roman"/>
      <w:lang w:eastAsia="ja-JP"/>
    </w:rPr>
  </w:style>
  <w:style w:type="character" w:customStyle="1" w:styleId="EditorsNoteChar">
    <w:name w:val="Editor's Note Char"/>
    <w:link w:val="EditorsNote"/>
    <w:rsid w:val="00BA7172"/>
    <w:rPr>
      <w:rFonts w:ascii="Times New Roman" w:hAnsi="Times New Roman"/>
      <w:color w:val="FF0000"/>
      <w:lang w:val="x-none" w:eastAsia="x-none"/>
    </w:rPr>
  </w:style>
  <w:style w:type="paragraph" w:customStyle="1" w:styleId="EmailDiscussion">
    <w:name w:val="EmailDiscussion"/>
    <w:basedOn w:val="Normal"/>
    <w:next w:val="Normal"/>
    <w:rsid w:val="00BA7172"/>
    <w:pPr>
      <w:numPr>
        <w:numId w:val="5"/>
      </w:numPr>
      <w:spacing w:before="40" w:after="0"/>
    </w:pPr>
    <w:rPr>
      <w:rFonts w:ascii="Arial" w:eastAsia="MS Mincho" w:hAnsi="Arial"/>
      <w:b/>
      <w:szCs w:val="24"/>
      <w:lang w:eastAsia="en-GB"/>
    </w:rPr>
  </w:style>
  <w:style w:type="character" w:styleId="Emphasis">
    <w:name w:val="Emphasis"/>
    <w:qFormat/>
    <w:rsid w:val="00BA7172"/>
    <w:rPr>
      <w:i/>
      <w:iCs/>
    </w:rPr>
  </w:style>
  <w:style w:type="paragraph" w:customStyle="1" w:styleId="FigureTitle">
    <w:name w:val="Figure_Title"/>
    <w:basedOn w:val="Normal"/>
    <w:next w:val="Normal"/>
    <w:rsid w:val="00BA7172"/>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A7172"/>
    <w:rPr>
      <w:rFonts w:ascii="Arial" w:hAnsi="Arial"/>
      <w:b/>
      <w:noProof/>
      <w:sz w:val="18"/>
      <w:lang w:eastAsia="ja-JP"/>
    </w:rPr>
  </w:style>
  <w:style w:type="character" w:customStyle="1" w:styleId="FooterChar">
    <w:name w:val="Footer Char"/>
    <w:link w:val="Footer"/>
    <w:rsid w:val="00BA7172"/>
    <w:rPr>
      <w:rFonts w:ascii="Arial" w:hAnsi="Arial"/>
      <w:b/>
      <w:i/>
      <w:noProof/>
      <w:sz w:val="18"/>
      <w:lang w:eastAsia="ja-JP"/>
    </w:rPr>
  </w:style>
  <w:style w:type="character" w:customStyle="1" w:styleId="FootnoteTextChar">
    <w:name w:val="Footnote Text Char"/>
    <w:link w:val="FootnoteText"/>
    <w:rsid w:val="00BA7172"/>
    <w:rPr>
      <w:rFonts w:ascii="Times New Roman" w:hAnsi="Times New Roman"/>
      <w:sz w:val="16"/>
      <w:lang w:eastAsia="ja-JP"/>
    </w:rPr>
  </w:style>
  <w:style w:type="paragraph" w:customStyle="1" w:styleId="Guidance">
    <w:name w:val="Guidance"/>
    <w:basedOn w:val="Normal"/>
    <w:rsid w:val="00BA7172"/>
    <w:rPr>
      <w:i/>
      <w:color w:val="0000FF"/>
    </w:rPr>
  </w:style>
  <w:style w:type="character" w:customStyle="1" w:styleId="Heading2Char">
    <w:name w:val="Heading 2 Char"/>
    <w:link w:val="Heading2"/>
    <w:rsid w:val="00BA7172"/>
    <w:rPr>
      <w:rFonts w:ascii="Arial" w:hAnsi="Arial"/>
      <w:sz w:val="32"/>
      <w:lang w:eastAsia="ja-JP"/>
    </w:rPr>
  </w:style>
  <w:style w:type="character" w:customStyle="1" w:styleId="Heading3Char">
    <w:name w:val="Heading 3 Char"/>
    <w:link w:val="Heading3"/>
    <w:rsid w:val="00BA7172"/>
    <w:rPr>
      <w:rFonts w:ascii="Arial" w:hAnsi="Arial"/>
      <w:sz w:val="28"/>
      <w:lang w:eastAsia="ja-JP"/>
    </w:rPr>
  </w:style>
  <w:style w:type="character" w:customStyle="1" w:styleId="Heading4Char">
    <w:name w:val="Heading 4 Char"/>
    <w:link w:val="Heading4"/>
    <w:rsid w:val="00BA7172"/>
    <w:rPr>
      <w:rFonts w:ascii="Arial" w:hAnsi="Arial"/>
      <w:sz w:val="24"/>
      <w:lang w:eastAsia="ja-JP"/>
    </w:rPr>
  </w:style>
  <w:style w:type="character" w:customStyle="1" w:styleId="Heading5Char">
    <w:name w:val="Heading 5 Char"/>
    <w:link w:val="Heading5"/>
    <w:rsid w:val="00BA7172"/>
    <w:rPr>
      <w:rFonts w:ascii="Arial" w:hAnsi="Arial"/>
      <w:sz w:val="22"/>
      <w:lang w:eastAsia="ja-JP"/>
    </w:rPr>
  </w:style>
  <w:style w:type="paragraph" w:customStyle="1" w:styleId="H6">
    <w:name w:val="H6"/>
    <w:basedOn w:val="Heading5"/>
    <w:next w:val="Normal"/>
    <w:rsid w:val="00BA7172"/>
    <w:pPr>
      <w:ind w:left="1985" w:hanging="1985"/>
      <w:outlineLvl w:val="9"/>
    </w:pPr>
    <w:rPr>
      <w:sz w:val="20"/>
    </w:rPr>
  </w:style>
  <w:style w:type="character" w:customStyle="1" w:styleId="Heading6Char">
    <w:name w:val="Heading 6 Char"/>
    <w:link w:val="Heading6"/>
    <w:rsid w:val="00BA7172"/>
    <w:rPr>
      <w:rFonts w:ascii="Arial" w:hAnsi="Arial"/>
      <w:lang w:eastAsia="ja-JP"/>
    </w:rPr>
  </w:style>
  <w:style w:type="character" w:customStyle="1" w:styleId="Heading7Char">
    <w:name w:val="Heading 7 Char"/>
    <w:link w:val="Heading7"/>
    <w:rsid w:val="00BA7172"/>
    <w:rPr>
      <w:rFonts w:ascii="Arial" w:hAnsi="Arial"/>
      <w:lang w:eastAsia="ja-JP"/>
    </w:rPr>
  </w:style>
  <w:style w:type="character" w:customStyle="1" w:styleId="Heading8Char">
    <w:name w:val="Heading 8 Char"/>
    <w:link w:val="Heading8"/>
    <w:rsid w:val="00BA7172"/>
    <w:rPr>
      <w:rFonts w:ascii="Arial" w:hAnsi="Arial"/>
      <w:sz w:val="36"/>
      <w:lang w:eastAsia="ja-JP"/>
    </w:rPr>
  </w:style>
  <w:style w:type="character" w:customStyle="1" w:styleId="Heading9Char">
    <w:name w:val="Heading 9 Char"/>
    <w:link w:val="Heading9"/>
    <w:rsid w:val="00BA7172"/>
    <w:rPr>
      <w:rFonts w:ascii="Arial" w:hAnsi="Arial"/>
      <w:sz w:val="36"/>
      <w:lang w:eastAsia="ja-JP"/>
    </w:rPr>
  </w:style>
  <w:style w:type="character" w:styleId="HTMLCode">
    <w:name w:val="HTML Code"/>
    <w:uiPriority w:val="99"/>
    <w:unhideWhenUsed/>
    <w:rsid w:val="00BA7172"/>
    <w:rPr>
      <w:rFonts w:ascii="Courier New" w:eastAsia="Times New Roman" w:hAnsi="Courier New" w:cs="Courier New"/>
      <w:sz w:val="20"/>
      <w:szCs w:val="20"/>
    </w:rPr>
  </w:style>
  <w:style w:type="paragraph" w:styleId="IndexHeading">
    <w:name w:val="index heading"/>
    <w:basedOn w:val="Normal"/>
    <w:next w:val="Normal"/>
    <w:rsid w:val="00BA7172"/>
    <w:pPr>
      <w:pBdr>
        <w:top w:val="single" w:sz="12" w:space="0" w:color="auto"/>
      </w:pBdr>
      <w:spacing w:before="360" w:after="240"/>
    </w:pPr>
    <w:rPr>
      <w:b/>
      <w:i/>
      <w:sz w:val="26"/>
      <w:lang w:eastAsia="en-GB"/>
    </w:rPr>
  </w:style>
  <w:style w:type="paragraph" w:customStyle="1" w:styleId="LD">
    <w:name w:val="LD"/>
    <w:rsid w:val="00BA7172"/>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99"/>
    <w:qFormat/>
    <w:rsid w:val="00BA7172"/>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BA7172"/>
    <w:rPr>
      <w:rFonts w:ascii="Calibri" w:eastAsia="Calibri" w:hAnsi="Calibri"/>
      <w:sz w:val="22"/>
      <w:szCs w:val="22"/>
      <w:lang w:val="x-none" w:eastAsia="en-US"/>
    </w:rPr>
  </w:style>
  <w:style w:type="paragraph" w:customStyle="1" w:styleId="NF">
    <w:name w:val="NF"/>
    <w:basedOn w:val="NO"/>
    <w:rsid w:val="00BA7172"/>
    <w:pPr>
      <w:keepNext/>
      <w:spacing w:after="0"/>
    </w:pPr>
    <w:rPr>
      <w:rFonts w:ascii="Arial" w:hAnsi="Arial"/>
      <w:sz w:val="18"/>
    </w:rPr>
  </w:style>
  <w:style w:type="paragraph" w:customStyle="1" w:styleId="NW">
    <w:name w:val="NW"/>
    <w:basedOn w:val="NO"/>
    <w:rsid w:val="00BA7172"/>
    <w:pPr>
      <w:spacing w:after="0"/>
    </w:pPr>
  </w:style>
  <w:style w:type="paragraph" w:customStyle="1" w:styleId="PL">
    <w:name w:val="PL"/>
    <w:link w:val="PLChar"/>
    <w:qFormat/>
    <w:rsid w:val="00BA71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A7172"/>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BA7172"/>
    <w:rPr>
      <w:rFonts w:ascii="Courier New" w:hAnsi="Courier New"/>
      <w:lang w:val="nb-NO"/>
    </w:rPr>
  </w:style>
  <w:style w:type="character" w:customStyle="1" w:styleId="PlainTextChar">
    <w:name w:val="Plain Text Char"/>
    <w:link w:val="PlainText"/>
    <w:uiPriority w:val="99"/>
    <w:rsid w:val="00BA7172"/>
    <w:rPr>
      <w:rFonts w:ascii="Courier New" w:hAnsi="Courier New"/>
      <w:lang w:val="nb-NO" w:eastAsia="ja-JP"/>
    </w:rPr>
  </w:style>
  <w:style w:type="character" w:styleId="Strong">
    <w:name w:val="Strong"/>
    <w:uiPriority w:val="22"/>
    <w:qFormat/>
    <w:rsid w:val="00BA7172"/>
    <w:rPr>
      <w:b/>
      <w:bCs/>
    </w:rPr>
  </w:style>
  <w:style w:type="table" w:styleId="TableGrid">
    <w:name w:val="Table Grid"/>
    <w:basedOn w:val="TableNormal"/>
    <w:uiPriority w:val="39"/>
    <w:rsid w:val="00BA717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A7172"/>
    <w:rPr>
      <w:rFonts w:ascii="Arial" w:hAnsi="Arial"/>
      <w:sz w:val="18"/>
      <w:lang w:val="x-none" w:eastAsia="x-none"/>
    </w:rPr>
  </w:style>
  <w:style w:type="character" w:customStyle="1" w:styleId="TAHCar">
    <w:name w:val="TAH Car"/>
    <w:link w:val="TAH"/>
    <w:locked/>
    <w:rsid w:val="00BA7172"/>
    <w:rPr>
      <w:rFonts w:ascii="Arial" w:hAnsi="Arial"/>
      <w:b/>
      <w:sz w:val="18"/>
      <w:lang w:val="x-none" w:eastAsia="x-none"/>
    </w:rPr>
  </w:style>
  <w:style w:type="character" w:customStyle="1" w:styleId="THChar">
    <w:name w:val="TH Char"/>
    <w:link w:val="TH"/>
    <w:rsid w:val="00BA7172"/>
    <w:rPr>
      <w:rFonts w:ascii="Arial" w:hAnsi="Arial"/>
      <w:b/>
      <w:lang w:val="x-none" w:eastAsia="x-none"/>
    </w:rPr>
  </w:style>
  <w:style w:type="paragraph" w:customStyle="1" w:styleId="TAJ">
    <w:name w:val="TAJ"/>
    <w:basedOn w:val="TH"/>
    <w:rsid w:val="00BA7172"/>
  </w:style>
  <w:style w:type="paragraph" w:customStyle="1" w:styleId="TALCharChar">
    <w:name w:val="TAL Char Char"/>
    <w:basedOn w:val="Normal"/>
    <w:link w:val="TALCharCharChar"/>
    <w:rsid w:val="00BA7172"/>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A7172"/>
    <w:rPr>
      <w:rFonts w:ascii="Arial" w:eastAsia="Malgun Gothic" w:hAnsi="Arial"/>
      <w:sz w:val="18"/>
      <w:lang w:val="x-none" w:eastAsia="x-none"/>
    </w:rPr>
  </w:style>
  <w:style w:type="character" w:customStyle="1" w:styleId="TFChar">
    <w:name w:val="TF Char"/>
    <w:link w:val="TF"/>
    <w:rsid w:val="00BA7172"/>
    <w:rPr>
      <w:rFonts w:ascii="Arial" w:hAnsi="Arial"/>
      <w:b/>
      <w:lang w:val="x-none" w:eastAsia="x-none"/>
    </w:rPr>
  </w:style>
  <w:style w:type="paragraph" w:styleId="ListContinue">
    <w:name w:val="List Continue"/>
    <w:basedOn w:val="Normal"/>
    <w:rsid w:val="00BA7172"/>
    <w:pPr>
      <w:spacing w:after="120"/>
      <w:ind w:left="283"/>
      <w:contextualSpacing/>
    </w:pPr>
    <w:rPr>
      <w:rFonts w:ascii="Arial" w:hAnsi="Arial"/>
    </w:rPr>
  </w:style>
  <w:style w:type="paragraph" w:styleId="ListContinue2">
    <w:name w:val="List Continue 2"/>
    <w:basedOn w:val="Normal"/>
    <w:rsid w:val="00BA7172"/>
    <w:pPr>
      <w:spacing w:after="120"/>
      <w:ind w:left="566"/>
      <w:contextualSpacing/>
    </w:pPr>
    <w:rPr>
      <w:rFonts w:ascii="Arial" w:hAnsi="Arial"/>
    </w:rPr>
  </w:style>
  <w:style w:type="paragraph" w:styleId="ListNumber3">
    <w:name w:val="List Number 3"/>
    <w:basedOn w:val="ListNumber2"/>
    <w:rsid w:val="00BA7172"/>
    <w:pPr>
      <w:numPr>
        <w:numId w:val="3"/>
      </w:numPr>
      <w:contextualSpacing/>
    </w:pPr>
  </w:style>
  <w:style w:type="character" w:customStyle="1" w:styleId="ReferenceChar">
    <w:name w:val="Reference Char"/>
    <w:link w:val="Reference"/>
    <w:locked/>
    <w:rsid w:val="00063A58"/>
    <w:rPr>
      <w:rFonts w:ascii="Arial" w:hAnsi="Arial"/>
      <w:lang w:eastAsia="zh-CN"/>
    </w:rPr>
  </w:style>
  <w:style w:type="paragraph" w:customStyle="1" w:styleId="IvDInstructiontext">
    <w:name w:val="IvD Instructiontext"/>
    <w:basedOn w:val="BodyText"/>
    <w:link w:val="IvDInstructiontextChar"/>
    <w:uiPriority w:val="99"/>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D57647"/>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D57647"/>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D57647"/>
    <w:rPr>
      <w:rFonts w:ascii="Arial" w:hAnsi="Arial"/>
      <w:spacing w:val="2"/>
      <w:lang w:val="en-US" w:eastAsia="en-US"/>
    </w:rPr>
  </w:style>
  <w:style w:type="paragraph" w:styleId="Revision">
    <w:name w:val="Revision"/>
    <w:hidden/>
    <w:uiPriority w:val="99"/>
    <w:semiHidden/>
    <w:rsid w:val="00B40F70"/>
    <w:rPr>
      <w:rFonts w:ascii="Times New Roman" w:hAnsi="Times New Roman"/>
      <w:lang w:eastAsia="ja-JP"/>
    </w:rPr>
  </w:style>
  <w:style w:type="paragraph" w:styleId="Subtitle">
    <w:name w:val="Subtitle"/>
    <w:basedOn w:val="Normal"/>
    <w:next w:val="Normal"/>
    <w:link w:val="SubtitleChar"/>
    <w:qFormat/>
    <w:rsid w:val="00F6233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62332"/>
    <w:rPr>
      <w:rFonts w:asciiTheme="minorHAnsi" w:eastAsiaTheme="minorEastAsia" w:hAnsiTheme="minorHAnsi" w:cstheme="minorBidi"/>
      <w:color w:val="5A5A5A" w:themeColor="text1" w:themeTint="A5"/>
      <w:spacing w:val="15"/>
      <w:sz w:val="22"/>
      <w:szCs w:val="22"/>
      <w:lang w:eastAsia="ja-JP"/>
    </w:rPr>
  </w:style>
  <w:style w:type="paragraph" w:styleId="NoSpacing">
    <w:name w:val="No Spacing"/>
    <w:uiPriority w:val="1"/>
    <w:qFormat/>
    <w:rsid w:val="00F62332"/>
    <w:pPr>
      <w:overflowPunct w:val="0"/>
      <w:autoSpaceDE w:val="0"/>
      <w:autoSpaceDN w:val="0"/>
      <w:adjustRightInd w:val="0"/>
      <w:textAlignment w:val="baseline"/>
    </w:pPr>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374928">
      <w:bodyDiv w:val="1"/>
      <w:marLeft w:val="0"/>
      <w:marRight w:val="0"/>
      <w:marTop w:val="0"/>
      <w:marBottom w:val="0"/>
      <w:divBdr>
        <w:top w:val="none" w:sz="0" w:space="0" w:color="auto"/>
        <w:left w:val="none" w:sz="0" w:space="0" w:color="auto"/>
        <w:bottom w:val="none" w:sz="0" w:space="0" w:color="auto"/>
        <w:right w:val="none" w:sz="0" w:space="0" w:color="auto"/>
      </w:divBdr>
    </w:div>
    <w:div w:id="214515277">
      <w:bodyDiv w:val="1"/>
      <w:marLeft w:val="0"/>
      <w:marRight w:val="0"/>
      <w:marTop w:val="0"/>
      <w:marBottom w:val="0"/>
      <w:divBdr>
        <w:top w:val="none" w:sz="0" w:space="0" w:color="auto"/>
        <w:left w:val="none" w:sz="0" w:space="0" w:color="auto"/>
        <w:bottom w:val="none" w:sz="0" w:space="0" w:color="auto"/>
        <w:right w:val="none" w:sz="0" w:space="0" w:color="auto"/>
      </w:divBdr>
    </w:div>
    <w:div w:id="287248772">
      <w:bodyDiv w:val="1"/>
      <w:marLeft w:val="0"/>
      <w:marRight w:val="0"/>
      <w:marTop w:val="0"/>
      <w:marBottom w:val="0"/>
      <w:divBdr>
        <w:top w:val="none" w:sz="0" w:space="0" w:color="auto"/>
        <w:left w:val="none" w:sz="0" w:space="0" w:color="auto"/>
        <w:bottom w:val="none" w:sz="0" w:space="0" w:color="auto"/>
        <w:right w:val="none" w:sz="0" w:space="0" w:color="auto"/>
      </w:divBdr>
      <w:divsChild>
        <w:div w:id="913851794">
          <w:marLeft w:val="835"/>
          <w:marRight w:val="0"/>
          <w:marTop w:val="86"/>
          <w:marBottom w:val="0"/>
          <w:divBdr>
            <w:top w:val="none" w:sz="0" w:space="0" w:color="auto"/>
            <w:left w:val="none" w:sz="0" w:space="0" w:color="auto"/>
            <w:bottom w:val="none" w:sz="0" w:space="0" w:color="auto"/>
            <w:right w:val="none" w:sz="0" w:space="0" w:color="auto"/>
          </w:divBdr>
        </w:div>
        <w:div w:id="1789544293">
          <w:marLeft w:val="274"/>
          <w:marRight w:val="0"/>
          <w:marTop w:val="96"/>
          <w:marBottom w:val="0"/>
          <w:divBdr>
            <w:top w:val="none" w:sz="0" w:space="0" w:color="auto"/>
            <w:left w:val="none" w:sz="0" w:space="0" w:color="auto"/>
            <w:bottom w:val="none" w:sz="0" w:space="0" w:color="auto"/>
            <w:right w:val="none" w:sz="0" w:space="0" w:color="auto"/>
          </w:divBdr>
        </w:div>
      </w:divsChild>
    </w:div>
    <w:div w:id="409304356">
      <w:bodyDiv w:val="1"/>
      <w:marLeft w:val="0"/>
      <w:marRight w:val="0"/>
      <w:marTop w:val="0"/>
      <w:marBottom w:val="0"/>
      <w:divBdr>
        <w:top w:val="none" w:sz="0" w:space="0" w:color="auto"/>
        <w:left w:val="none" w:sz="0" w:space="0" w:color="auto"/>
        <w:bottom w:val="none" w:sz="0" w:space="0" w:color="auto"/>
        <w:right w:val="none" w:sz="0" w:space="0" w:color="auto"/>
      </w:divBdr>
      <w:divsChild>
        <w:div w:id="1807313531">
          <w:marLeft w:val="274"/>
          <w:marRight w:val="0"/>
          <w:marTop w:val="96"/>
          <w:marBottom w:val="0"/>
          <w:divBdr>
            <w:top w:val="none" w:sz="0" w:space="0" w:color="auto"/>
            <w:left w:val="none" w:sz="0" w:space="0" w:color="auto"/>
            <w:bottom w:val="none" w:sz="0" w:space="0" w:color="auto"/>
            <w:right w:val="none" w:sz="0" w:space="0" w:color="auto"/>
          </w:divBdr>
        </w:div>
      </w:divsChild>
    </w:div>
    <w:div w:id="604505828">
      <w:bodyDiv w:val="1"/>
      <w:marLeft w:val="0"/>
      <w:marRight w:val="0"/>
      <w:marTop w:val="0"/>
      <w:marBottom w:val="0"/>
      <w:divBdr>
        <w:top w:val="none" w:sz="0" w:space="0" w:color="auto"/>
        <w:left w:val="none" w:sz="0" w:space="0" w:color="auto"/>
        <w:bottom w:val="none" w:sz="0" w:space="0" w:color="auto"/>
        <w:right w:val="none" w:sz="0" w:space="0" w:color="auto"/>
      </w:divBdr>
    </w:div>
    <w:div w:id="670716644">
      <w:bodyDiv w:val="1"/>
      <w:marLeft w:val="0"/>
      <w:marRight w:val="0"/>
      <w:marTop w:val="0"/>
      <w:marBottom w:val="0"/>
      <w:divBdr>
        <w:top w:val="none" w:sz="0" w:space="0" w:color="auto"/>
        <w:left w:val="none" w:sz="0" w:space="0" w:color="auto"/>
        <w:bottom w:val="none" w:sz="0" w:space="0" w:color="auto"/>
        <w:right w:val="none" w:sz="0" w:space="0" w:color="auto"/>
      </w:divBdr>
    </w:div>
    <w:div w:id="973025184">
      <w:bodyDiv w:val="1"/>
      <w:marLeft w:val="0"/>
      <w:marRight w:val="0"/>
      <w:marTop w:val="0"/>
      <w:marBottom w:val="0"/>
      <w:divBdr>
        <w:top w:val="none" w:sz="0" w:space="0" w:color="auto"/>
        <w:left w:val="none" w:sz="0" w:space="0" w:color="auto"/>
        <w:bottom w:val="none" w:sz="0" w:space="0" w:color="auto"/>
        <w:right w:val="none" w:sz="0" w:space="0" w:color="auto"/>
      </w:divBdr>
      <w:divsChild>
        <w:div w:id="1531795977">
          <w:marLeft w:val="274"/>
          <w:marRight w:val="0"/>
          <w:marTop w:val="96"/>
          <w:marBottom w:val="0"/>
          <w:divBdr>
            <w:top w:val="none" w:sz="0" w:space="0" w:color="auto"/>
            <w:left w:val="none" w:sz="0" w:space="0" w:color="auto"/>
            <w:bottom w:val="none" w:sz="0" w:space="0" w:color="auto"/>
            <w:right w:val="none" w:sz="0" w:space="0" w:color="auto"/>
          </w:divBdr>
        </w:div>
      </w:divsChild>
    </w:div>
    <w:div w:id="998120734">
      <w:bodyDiv w:val="1"/>
      <w:marLeft w:val="0"/>
      <w:marRight w:val="0"/>
      <w:marTop w:val="0"/>
      <w:marBottom w:val="0"/>
      <w:divBdr>
        <w:top w:val="none" w:sz="0" w:space="0" w:color="auto"/>
        <w:left w:val="none" w:sz="0" w:space="0" w:color="auto"/>
        <w:bottom w:val="none" w:sz="0" w:space="0" w:color="auto"/>
        <w:right w:val="none" w:sz="0" w:space="0" w:color="auto"/>
      </w:divBdr>
    </w:div>
    <w:div w:id="1107769942">
      <w:bodyDiv w:val="1"/>
      <w:marLeft w:val="0"/>
      <w:marRight w:val="0"/>
      <w:marTop w:val="0"/>
      <w:marBottom w:val="0"/>
      <w:divBdr>
        <w:top w:val="none" w:sz="0" w:space="0" w:color="auto"/>
        <w:left w:val="none" w:sz="0" w:space="0" w:color="auto"/>
        <w:bottom w:val="none" w:sz="0" w:space="0" w:color="auto"/>
        <w:right w:val="none" w:sz="0" w:space="0" w:color="auto"/>
      </w:divBdr>
    </w:div>
    <w:div w:id="1180777080">
      <w:bodyDiv w:val="1"/>
      <w:marLeft w:val="0"/>
      <w:marRight w:val="0"/>
      <w:marTop w:val="0"/>
      <w:marBottom w:val="0"/>
      <w:divBdr>
        <w:top w:val="none" w:sz="0" w:space="0" w:color="auto"/>
        <w:left w:val="none" w:sz="0" w:space="0" w:color="auto"/>
        <w:bottom w:val="none" w:sz="0" w:space="0" w:color="auto"/>
        <w:right w:val="none" w:sz="0" w:space="0" w:color="auto"/>
      </w:divBdr>
    </w:div>
    <w:div w:id="1225944260">
      <w:bodyDiv w:val="1"/>
      <w:marLeft w:val="0"/>
      <w:marRight w:val="0"/>
      <w:marTop w:val="0"/>
      <w:marBottom w:val="0"/>
      <w:divBdr>
        <w:top w:val="none" w:sz="0" w:space="0" w:color="auto"/>
        <w:left w:val="none" w:sz="0" w:space="0" w:color="auto"/>
        <w:bottom w:val="none" w:sz="0" w:space="0" w:color="auto"/>
        <w:right w:val="none" w:sz="0" w:space="0" w:color="auto"/>
      </w:divBdr>
    </w:div>
    <w:div w:id="1414163116">
      <w:bodyDiv w:val="1"/>
      <w:marLeft w:val="0"/>
      <w:marRight w:val="0"/>
      <w:marTop w:val="0"/>
      <w:marBottom w:val="0"/>
      <w:divBdr>
        <w:top w:val="none" w:sz="0" w:space="0" w:color="auto"/>
        <w:left w:val="none" w:sz="0" w:space="0" w:color="auto"/>
        <w:bottom w:val="none" w:sz="0" w:space="0" w:color="auto"/>
        <w:right w:val="none" w:sz="0" w:space="0" w:color="auto"/>
      </w:divBdr>
    </w:div>
    <w:div w:id="1582060902">
      <w:bodyDiv w:val="1"/>
      <w:marLeft w:val="0"/>
      <w:marRight w:val="0"/>
      <w:marTop w:val="0"/>
      <w:marBottom w:val="0"/>
      <w:divBdr>
        <w:top w:val="none" w:sz="0" w:space="0" w:color="auto"/>
        <w:left w:val="none" w:sz="0" w:space="0" w:color="auto"/>
        <w:bottom w:val="none" w:sz="0" w:space="0" w:color="auto"/>
        <w:right w:val="none" w:sz="0" w:space="0" w:color="auto"/>
      </w:divBdr>
    </w:div>
    <w:div w:id="1718161490">
      <w:bodyDiv w:val="1"/>
      <w:marLeft w:val="0"/>
      <w:marRight w:val="0"/>
      <w:marTop w:val="0"/>
      <w:marBottom w:val="0"/>
      <w:divBdr>
        <w:top w:val="none" w:sz="0" w:space="0" w:color="auto"/>
        <w:left w:val="none" w:sz="0" w:space="0" w:color="auto"/>
        <w:bottom w:val="none" w:sz="0" w:space="0" w:color="auto"/>
        <w:right w:val="none" w:sz="0" w:space="0" w:color="auto"/>
      </w:divBdr>
    </w:div>
    <w:div w:id="1898130339">
      <w:bodyDiv w:val="1"/>
      <w:marLeft w:val="0"/>
      <w:marRight w:val="0"/>
      <w:marTop w:val="0"/>
      <w:marBottom w:val="0"/>
      <w:divBdr>
        <w:top w:val="none" w:sz="0" w:space="0" w:color="auto"/>
        <w:left w:val="none" w:sz="0" w:space="0" w:color="auto"/>
        <w:bottom w:val="none" w:sz="0" w:space="0" w:color="auto"/>
        <w:right w:val="none" w:sz="0" w:space="0" w:color="auto"/>
      </w:divBdr>
    </w:div>
    <w:div w:id="1987204279">
      <w:bodyDiv w:val="1"/>
      <w:marLeft w:val="0"/>
      <w:marRight w:val="0"/>
      <w:marTop w:val="0"/>
      <w:marBottom w:val="0"/>
      <w:divBdr>
        <w:top w:val="none" w:sz="0" w:space="0" w:color="auto"/>
        <w:left w:val="none" w:sz="0" w:space="0" w:color="auto"/>
        <w:bottom w:val="none" w:sz="0" w:space="0" w:color="auto"/>
        <w:right w:val="none" w:sz="0" w:space="0" w:color="auto"/>
      </w:divBdr>
    </w:div>
    <w:div w:id="2024042556">
      <w:bodyDiv w:val="1"/>
      <w:marLeft w:val="0"/>
      <w:marRight w:val="0"/>
      <w:marTop w:val="0"/>
      <w:marBottom w:val="0"/>
      <w:divBdr>
        <w:top w:val="none" w:sz="0" w:space="0" w:color="auto"/>
        <w:left w:val="none" w:sz="0" w:space="0" w:color="auto"/>
        <w:bottom w:val="none" w:sz="0" w:space="0" w:color="auto"/>
        <w:right w:val="none" w:sz="0" w:space="0" w:color="auto"/>
      </w:divBdr>
      <w:divsChild>
        <w:div w:id="1049306608">
          <w:marLeft w:val="835"/>
          <w:marRight w:val="0"/>
          <w:marTop w:val="77"/>
          <w:marBottom w:val="0"/>
          <w:divBdr>
            <w:top w:val="none" w:sz="0" w:space="0" w:color="auto"/>
            <w:left w:val="none" w:sz="0" w:space="0" w:color="auto"/>
            <w:bottom w:val="none" w:sz="0" w:space="0" w:color="auto"/>
            <w:right w:val="none" w:sz="0" w:space="0" w:color="auto"/>
          </w:divBdr>
        </w:div>
        <w:div w:id="1313094104">
          <w:marLeft w:val="835"/>
          <w:marRight w:val="0"/>
          <w:marTop w:val="77"/>
          <w:marBottom w:val="0"/>
          <w:divBdr>
            <w:top w:val="none" w:sz="0" w:space="0" w:color="auto"/>
            <w:left w:val="none" w:sz="0" w:space="0" w:color="auto"/>
            <w:bottom w:val="none" w:sz="0" w:space="0" w:color="auto"/>
            <w:right w:val="none" w:sz="0" w:space="0" w:color="auto"/>
          </w:divBdr>
        </w:div>
      </w:divsChild>
    </w:div>
    <w:div w:id="2130664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eekar\Documents\Liger\Swea-L1\Working%20Areas\RAN1_93%20Busan\Contributions_NR\7.6%20NR-U\R1-xxxxxx%20Grantless%20Uplink.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5NUHHDQN7SK2-1476151046-34975</_dlc_DocId>
    <_dlc_DocIdUrl xmlns="f166a696-7b5b-4ccd-9f0c-ffde0cceec81">
      <Url>https://ericsson.sharepoint.com/sites/star/_layouts/15/DocIdRedir.aspx?ID=5NUHHDQN7SK2-1476151046-34975</Url>
      <Description>5NUHHDQN7SK2-1476151046-34975</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E25CC-C424-4CE2-8594-4DCEC9F4CDD2}">
  <ds:schemaRefs>
    <ds:schemaRef ds:uri="Microsoft.SharePoint.Taxonomy.ContentTypeSync"/>
  </ds:schemaRefs>
</ds:datastoreItem>
</file>

<file path=customXml/itemProps2.xml><?xml version="1.0" encoding="utf-8"?>
<ds:datastoreItem xmlns:ds="http://schemas.openxmlformats.org/officeDocument/2006/customXml" ds:itemID="{975EB2DB-C29B-438D-B7D9-78F728D4A750}">
  <ds:schemaRefs>
    <ds:schemaRef ds:uri="http://schemas.microsoft.com/sharepoint/events"/>
  </ds:schemaRefs>
</ds:datastoreItem>
</file>

<file path=customXml/itemProps3.xml><?xml version="1.0" encoding="utf-8"?>
<ds:datastoreItem xmlns:ds="http://schemas.openxmlformats.org/officeDocument/2006/customXml" ds:itemID="{0D18F939-503A-4E02-A698-F9551CAE4A63}">
  <ds:schemaRefs>
    <ds:schemaRef ds:uri="http://schemas.microsoft.com/sharepoint/v3/contenttype/forms"/>
  </ds:schemaRefs>
</ds:datastoreItem>
</file>

<file path=customXml/itemProps4.xml><?xml version="1.0" encoding="utf-8"?>
<ds:datastoreItem xmlns:ds="http://schemas.openxmlformats.org/officeDocument/2006/customXml" ds:itemID="{33E5BA4E-08BE-4B61-BDEF-D1997B6652A4}">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34F7BC62-DA0E-4608-B5A9-809417E853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23AE455-04C5-4D21-B5A0-DD5F349D8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Grantless Uplink</Template>
  <TotalTime>221</TotalTime>
  <Pages>6</Pages>
  <Words>2198</Words>
  <Characters>12534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14703</CharactersWithSpaces>
  <SharedDoc>false</SharedDoc>
  <HLinks>
    <vt:vector size="54" baseType="variant">
      <vt:variant>
        <vt:i4>1114161</vt:i4>
      </vt:variant>
      <vt:variant>
        <vt:i4>44</vt:i4>
      </vt:variant>
      <vt:variant>
        <vt:i4>0</vt:i4>
      </vt:variant>
      <vt:variant>
        <vt:i4>5</vt:i4>
      </vt:variant>
      <vt:variant>
        <vt:lpwstr/>
      </vt:variant>
      <vt:variant>
        <vt:lpwstr>_Toc528684468</vt:lpwstr>
      </vt:variant>
      <vt:variant>
        <vt:i4>1114161</vt:i4>
      </vt:variant>
      <vt:variant>
        <vt:i4>41</vt:i4>
      </vt:variant>
      <vt:variant>
        <vt:i4>0</vt:i4>
      </vt:variant>
      <vt:variant>
        <vt:i4>5</vt:i4>
      </vt:variant>
      <vt:variant>
        <vt:lpwstr/>
      </vt:variant>
      <vt:variant>
        <vt:lpwstr>_Toc528684467</vt:lpwstr>
      </vt:variant>
      <vt:variant>
        <vt:i4>1114161</vt:i4>
      </vt:variant>
      <vt:variant>
        <vt:i4>38</vt:i4>
      </vt:variant>
      <vt:variant>
        <vt:i4>0</vt:i4>
      </vt:variant>
      <vt:variant>
        <vt:i4>5</vt:i4>
      </vt:variant>
      <vt:variant>
        <vt:lpwstr/>
      </vt:variant>
      <vt:variant>
        <vt:lpwstr>_Toc528684466</vt:lpwstr>
      </vt:variant>
      <vt:variant>
        <vt:i4>1114161</vt:i4>
      </vt:variant>
      <vt:variant>
        <vt:i4>35</vt:i4>
      </vt:variant>
      <vt:variant>
        <vt:i4>0</vt:i4>
      </vt:variant>
      <vt:variant>
        <vt:i4>5</vt:i4>
      </vt:variant>
      <vt:variant>
        <vt:lpwstr/>
      </vt:variant>
      <vt:variant>
        <vt:lpwstr>_Toc528684465</vt:lpwstr>
      </vt:variant>
      <vt:variant>
        <vt:i4>1114161</vt:i4>
      </vt:variant>
      <vt:variant>
        <vt:i4>32</vt:i4>
      </vt:variant>
      <vt:variant>
        <vt:i4>0</vt:i4>
      </vt:variant>
      <vt:variant>
        <vt:i4>5</vt:i4>
      </vt:variant>
      <vt:variant>
        <vt:lpwstr/>
      </vt:variant>
      <vt:variant>
        <vt:lpwstr>_Toc528684464</vt:lpwstr>
      </vt:variant>
      <vt:variant>
        <vt:i4>1114161</vt:i4>
      </vt:variant>
      <vt:variant>
        <vt:i4>29</vt:i4>
      </vt:variant>
      <vt:variant>
        <vt:i4>0</vt:i4>
      </vt:variant>
      <vt:variant>
        <vt:i4>5</vt:i4>
      </vt:variant>
      <vt:variant>
        <vt:lpwstr/>
      </vt:variant>
      <vt:variant>
        <vt:lpwstr>_Toc528684463</vt:lpwstr>
      </vt:variant>
      <vt:variant>
        <vt:i4>1114161</vt:i4>
      </vt:variant>
      <vt:variant>
        <vt:i4>26</vt:i4>
      </vt:variant>
      <vt:variant>
        <vt:i4>0</vt:i4>
      </vt:variant>
      <vt:variant>
        <vt:i4>5</vt:i4>
      </vt:variant>
      <vt:variant>
        <vt:lpwstr/>
      </vt:variant>
      <vt:variant>
        <vt:lpwstr>_Toc528684462</vt:lpwstr>
      </vt:variant>
      <vt:variant>
        <vt:i4>1572915</vt:i4>
      </vt:variant>
      <vt:variant>
        <vt:i4>20</vt:i4>
      </vt:variant>
      <vt:variant>
        <vt:i4>0</vt:i4>
      </vt:variant>
      <vt:variant>
        <vt:i4>5</vt:i4>
      </vt:variant>
      <vt:variant>
        <vt:lpwstr/>
      </vt:variant>
      <vt:variant>
        <vt:lpwstr>_Toc528683684</vt:lpwstr>
      </vt:variant>
      <vt:variant>
        <vt:i4>1572915</vt:i4>
      </vt:variant>
      <vt:variant>
        <vt:i4>17</vt:i4>
      </vt:variant>
      <vt:variant>
        <vt:i4>0</vt:i4>
      </vt:variant>
      <vt:variant>
        <vt:i4>5</vt:i4>
      </vt:variant>
      <vt:variant>
        <vt:lpwstr/>
      </vt:variant>
      <vt:variant>
        <vt:lpwstr>_Toc528683683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Reem Karaki</dc:creator>
  <cp:keywords>3GPP; Ericsson; TDoc</cp:keywords>
  <dc:description/>
  <cp:lastModifiedBy>Reem Karaki</cp:lastModifiedBy>
  <cp:revision>13</cp:revision>
  <cp:lastPrinted>2008-01-31T08:09:00Z</cp:lastPrinted>
  <dcterms:created xsi:type="dcterms:W3CDTF">2019-01-09T12:05:00Z</dcterms:created>
  <dcterms:modified xsi:type="dcterms:W3CDTF">2019-01-11T23:12:00Z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d4c61953-852a-4a62-ab4d-8e0b7695ac59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Projects">
    <vt:lpwstr/>
  </property>
  <property fmtid="{D5CDD505-2E9C-101B-9397-08002B2CF9AE}" pid="7" name="EriCOLLCategory">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ies>
</file>